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before="120" w:beforeAutospacing="0" w:after="120" w:afterAutospacing="0" w:line="360" w:lineRule="auto"/>
        <w:rPr>
          <w:highlight w:val="none"/>
        </w:rPr>
      </w:pPr>
      <w:r>
        <w:rPr>
          <w:highlight w:val="none"/>
        </w:rPr>
        <w:t xml:space="preserve"> </w:t>
      </w:r>
      <w:r/>
    </w:p>
    <w:p>
      <w:pPr>
        <w:pStyle w:val="695"/>
        <w:jc w:val="center"/>
        <w:keepLines w:val="0"/>
        <w:keepNext w:val="0"/>
        <w:pageBreakBefore w:val="0"/>
        <w:spacing w:before="1801" w:beforeAutospacing="0" w:afterAutospacing="0" w:line="360" w:lineRule="auto"/>
        <w:widowControl w:val="off"/>
        <w:rPr>
          <w:highlight w:val="none"/>
        </w:rPr>
      </w:pPr>
      <w:r>
        <w:rPr>
          <w:rFonts w:ascii="Arial" w:hAnsi="Arial" w:cs="Arial"/>
          <w:b/>
          <w:color w:val="000000"/>
          <w:sz w:val="84"/>
          <w:szCs w:val="84"/>
          <w:highlight w:val="none"/>
        </w:rPr>
        <w:t xml:space="preserve">招 标 文 件</w:t>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5"/>
        <w:jc w:val="both"/>
        <w:keepLines w:val="0"/>
        <w:keepNext w:val="0"/>
        <w:pageBreakBefore w:val="0"/>
        <w:spacing w:beforeAutospacing="0" w:afterAutospacing="0" w:line="480" w:lineRule="auto"/>
        <w:widowControl w:val="off"/>
        <w:rPr>
          <w:rFonts w:hint="eastAsia" w:eastAsiaTheme="minorEastAsia"/>
          <w:sz w:val="22"/>
          <w:szCs w:val="22"/>
          <w:highlight w:val="none"/>
          <w:lang w:eastAsia="zh-CN"/>
        </w:rPr>
      </w:pPr>
      <w:r>
        <w:rPr>
          <w:rFonts w:ascii="Arial" w:hAnsi="Arial" w:cs="Arial"/>
          <w:b/>
          <w:color w:val="000000"/>
          <w:sz w:val="28"/>
          <w:szCs w:val="28"/>
          <w:highlight w:val="none"/>
        </w:rPr>
        <w:t xml:space="preserve">项目名称：</w:t>
      </w:r>
      <w:r>
        <w:rPr>
          <w:rFonts w:hint="eastAsia" w:ascii="Arial" w:hAnsi="Arial" w:cs="Arial"/>
          <w:b/>
          <w:color w:val="000000"/>
          <w:sz w:val="28"/>
          <w:szCs w:val="28"/>
          <w:highlight w:val="none"/>
          <w:lang w:eastAsia="zh-CN"/>
        </w:rPr>
        <w:t xml:space="preserve">江苏省东台中学汇文中心改造提升-社团活动基地</w:t>
      </w:r>
      <w:r/>
    </w:p>
    <w:p>
      <w:pPr>
        <w:pStyle w:val="695"/>
        <w:jc w:val="both"/>
        <w:keepLines w:val="0"/>
        <w:keepNext w:val="0"/>
        <w:pageBreakBefore w:val="0"/>
        <w:spacing w:beforeAutospacing="0" w:afterAutospacing="0" w:line="480" w:lineRule="auto"/>
        <w:widowControl w:val="off"/>
        <w:rPr>
          <w:rFonts w:hint="default" w:eastAsiaTheme="minorEastAsia"/>
          <w:highlight w:val="none"/>
          <w:lang w:val="en-US" w:eastAsia="zh-CN"/>
        </w:rPr>
      </w:pPr>
      <w:r>
        <w:rPr>
          <w:rFonts w:ascii="Arial" w:hAnsi="Arial" w:cs="Arial"/>
          <w:b/>
          <w:color w:val="000000"/>
          <w:sz w:val="28"/>
          <w:szCs w:val="28"/>
          <w:highlight w:val="none"/>
        </w:rPr>
        <w:t xml:space="preserve">项目编号：</w:t>
      </w:r>
      <w:r>
        <w:rPr>
          <w:rFonts w:hint="eastAsia" w:ascii="Arial" w:hAnsi="Arial" w:cs="Arial"/>
          <w:b/>
          <w:color w:val="000000"/>
          <w:sz w:val="28"/>
          <w:szCs w:val="28"/>
          <w:highlight w:val="none"/>
        </w:rPr>
        <w:t xml:space="preserve">JSZC-320981-YCCZ-G2025-0016</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spacing w:beforeAutospacing="0" w:afterAutospacing="0" w:line="360" w:lineRule="auto"/>
        <w:rPr>
          <w:highlight w:val="none"/>
        </w:rPr>
      </w:pPr>
      <w:r>
        <w:rPr>
          <w:highlight w:val="none"/>
        </w:rPr>
        <w:t xml:space="preserve"> </w:t>
      </w:r>
      <w:r/>
    </w:p>
    <w:p>
      <w:pPr>
        <w:pStyle w:val="695"/>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江苏省东台中学</w:t>
      </w:r>
      <w:r/>
    </w:p>
    <w:p>
      <w:pPr>
        <w:pStyle w:val="695"/>
        <w:jc w:val="center"/>
        <w:spacing w:before="120" w:beforeAutospacing="0" w:after="120" w:afterAutospacing="0" w:line="360" w:lineRule="auto"/>
        <w:rPr>
          <w:rFonts w:hint="default" w:eastAsiaTheme="minorEastAsia"/>
          <w:highlight w:val="none"/>
          <w:lang w:val="en-US" w:eastAsia="zh-CN"/>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29日</w:t>
      </w:r>
      <w:r/>
    </w:p>
    <w:p>
      <w:pPr>
        <w:pStyle w:val="695"/>
        <w:spacing w:before="120" w:beforeAutospacing="0" w:after="120" w:afterAutospacing="0" w:line="360" w:lineRule="auto"/>
        <w:rPr>
          <w:highlight w:val="none"/>
        </w:rPr>
      </w:pPr>
      <w:r>
        <w:rPr>
          <w:rFonts w:ascii="Arial" w:hAnsi="Arial" w:cs="Arial"/>
          <w:color w:val="000000"/>
          <w:highlight w:val="none"/>
        </w:rPr>
        <w:t xml:space="preserve">                        </w:t>
      </w:r>
      <w:r/>
    </w:p>
    <w:p>
      <w:pPr>
        <w:pStyle w:val="69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16938516"/>
      <w:r/>
      <w:bookmarkStart w:id="2" w:name="_Toc513029200"/>
      <w:r/>
      <w:bookmarkStart w:id="3" w:name="_Toc479757206"/>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95"/>
        <w:jc w:val="both"/>
        <w:spacing w:beforeAutospacing="0" w:afterAutospacing="0" w:line="480" w:lineRule="auto"/>
        <w:rPr>
          <w:highlight w:val="none"/>
        </w:rPr>
      </w:pPr>
      <w:r>
        <w:rPr>
          <w:highlight w:val="none"/>
        </w:rPr>
        <w:t xml:space="preserve">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textDirection w:val="lrTb"/>
            <w:noWrap w:val="false"/>
          </w:tcPr>
          <w:p>
            <w:pPr>
              <w:ind w:left="0" w:right="0" w:firstLine="0"/>
              <w:jc w:val="both"/>
              <w:spacing w:before="0" w:after="0" w:line="240" w:lineRule="auto"/>
              <w:rPr>
                <w:rFonts w:hint="default"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lang w:val="en-US" w:eastAsia="zh-CN"/>
              </w:rPr>
              <w:t xml:space="preserve">项目概况</w:t>
            </w:r>
            <w:r/>
          </w:p>
          <w:p>
            <w:pPr>
              <w:ind w:left="0" w:right="0" w:firstLine="480"/>
              <w:jc w:val="both"/>
              <w:spacing w:before="0" w:after="0" w:line="240" w:lineRule="auto"/>
              <w:rPr>
                <w:rFonts w:hint="eastAsia" w:ascii="宋体" w:hAnsi="宋体" w:eastAsia="宋体" w:cs="宋体"/>
                <w:color w:val="000000"/>
                <w:sz w:val="24"/>
                <w:u w:val="none"/>
                <w:vertAlign w:val="baseli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江苏省东台中学汇文中心改造提升-社团活动基地JSZC-320981-YCCZ-G2025-0016</w:t>
            </w:r>
            <w:r>
              <w:rPr>
                <w:rFonts w:ascii="宋体" w:hAnsi="宋体" w:eastAsia="宋体" w:cs="宋体"/>
                <w:color w:val="000000"/>
                <w:sz w:val="24"/>
                <w:u w:val="none"/>
              </w:rPr>
              <w:t xml:space="preserve">招标项目</w:t>
            </w:r>
            <w:r>
              <w:rPr>
                <w:rFonts w:ascii="宋体" w:hAnsi="宋体" w:eastAsia="宋体" w:cs="宋体"/>
                <w:color w:val="000000"/>
                <w:sz w:val="24"/>
                <w:u w:val="none"/>
              </w:rPr>
              <w:t xml:space="preserve">的</w:t>
            </w:r>
            <w:r>
              <w:rPr>
                <w:rFonts w:ascii="宋体" w:hAnsi="宋体" w:eastAsia="宋体" w:cs="宋体"/>
                <w:color w:val="000000"/>
                <w:sz w:val="24"/>
                <w:u w:val="none"/>
              </w:rPr>
              <w:t xml:space="preserve">潜在投标人应在“苏采云”系统内免费下载（投标人必须在苏采云系统中获取采购文件，方能参与政府采购项目）获取招标文件，并于</w:t>
            </w:r>
            <w:r>
              <w:rPr>
                <w:rFonts w:ascii="宋体" w:hAnsi="宋体" w:eastAsia="宋体" w:cs="宋体"/>
                <w:color w:val="000000"/>
                <w:sz w:val="24"/>
                <w:u w:val="single"/>
              </w:rPr>
              <w:t xml:space="preserve">2025-</w:t>
            </w:r>
            <w:r>
              <w:rPr>
                <w:rFonts w:hint="eastAsia" w:ascii="宋体" w:hAnsi="宋体" w:eastAsia="宋体" w:cs="宋体"/>
                <w:color w:val="000000"/>
                <w:sz w:val="24"/>
                <w:u w:val="single"/>
                <w:lang w:val="en-US" w:eastAsia="zh-CN"/>
              </w:rPr>
              <w:t xml:space="preserve">11</w:t>
            </w:r>
            <w:r>
              <w:rPr>
                <w:rFonts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13</w:t>
            </w:r>
            <w:r>
              <w:rPr>
                <w:rFonts w:ascii="宋体" w:hAnsi="宋体" w:eastAsia="宋体" w:cs="宋体"/>
                <w:color w:val="000000"/>
                <w:sz w:val="24"/>
                <w:u w:val="single"/>
              </w:rPr>
              <w:t xml:space="preserve"> 8:30</w:t>
            </w:r>
            <w:r>
              <w:rPr>
                <w:rFonts w:ascii="宋体" w:hAnsi="宋体" w:eastAsia="宋体" w:cs="宋体"/>
                <w:color w:val="000000"/>
                <w:sz w:val="24"/>
                <w:u w:val="none"/>
              </w:rPr>
              <w:t xml:space="preserve">（北京时间）前递交投标文件。</w:t>
            </w:r>
            <w:r/>
          </w:p>
        </w:tc>
      </w:tr>
    </w:tbl>
    <w:p>
      <w:pPr>
        <w:pStyle w:val="695"/>
        <w:ind w:firstLine="482"/>
        <w:jc w:val="both"/>
        <w:keepLines/>
        <w:keepNext/>
        <w:pageBreakBefore w:val="0"/>
        <w:spacing w:beforeAutospacing="0" w:afterAutospacing="0" w:line="336" w:lineRule="auto"/>
        <w:widowControl w:val="off"/>
        <w:rPr>
          <w:rFonts w:hint="eastAsia" w:ascii="宋体" w:hAnsi="宋体" w:eastAsia="宋体" w:cs="宋体"/>
          <w:sz w:val="24"/>
          <w:szCs w:val="24"/>
          <w:highlight w:val="none"/>
        </w:rPr>
      </w:pPr>
      <w:r/>
      <w:bookmarkStart w:id="7" w:name="_Toc38985263"/>
      <w:r/>
      <w:bookmarkStart w:id="8" w:name="_Hlk24379207"/>
      <w:r/>
      <w:bookmarkStart w:id="9" w:name="_Toc35393790"/>
      <w:r/>
      <w:bookmarkStart w:id="10" w:name="_Toc35393621"/>
      <w:r/>
      <w:bookmarkStart w:id="11" w:name="_Toc28359002"/>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95"/>
        <w:ind w:firstLine="480"/>
        <w:jc w:val="both"/>
        <w:pageBreakBefore w:val="0"/>
        <w:spacing w:beforeAutospacing="0" w:afterAutospacing="0" w:line="336" w:lineRule="auto"/>
        <w:rPr>
          <w:rFonts w:hint="eastAsia" w:ascii="宋体" w:hAnsi="宋体" w:eastAsia="宋体" w:cs="宋体"/>
          <w:i w:val="0"/>
          <w:iCs w:val="0"/>
          <w:caps w:val="0"/>
          <w:color w:val="333333"/>
          <w:spacing w:val="0"/>
          <w:sz w:val="24"/>
          <w:szCs w:val="24"/>
          <w:highlight w:val="none"/>
          <w:shd w:val="clear" w:color="auto" w:fill="ffffff"/>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1.项目编号：</w:t>
      </w:r>
      <w:r>
        <w:rPr>
          <w:rFonts w:hint="eastAsia" w:ascii="宋体" w:hAnsi="宋体" w:eastAsia="宋体" w:cs="宋体"/>
          <w:color w:val="000000"/>
          <w:sz w:val="24"/>
          <w:szCs w:val="24"/>
          <w:highlight w:val="white"/>
          <w:lang w:eastAsia="zh-CN"/>
        </w:rPr>
        <w:t xml:space="preserve">JSZC-320981-YCCZ-G2025-0016</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9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199.40万元</w:t>
      </w:r>
      <w:r/>
    </w:p>
    <w:p>
      <w:pPr>
        <w:pStyle w:val="695"/>
        <w:ind w:firstLine="480"/>
        <w:jc w:val="both"/>
        <w:pageBreakBefore w:val="0"/>
        <w:spacing w:beforeAutospacing="0" w:afterAutospacing="0" w:line="336" w:lineRule="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190.00万元</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江苏省东台中学汇文中心改造提升-社团活动基地，</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合同签订后30日历天内完成</w:t>
      </w:r>
      <w:r>
        <w:rPr>
          <w:rFonts w:hint="eastAsia" w:ascii="宋体" w:hAnsi="宋体" w:eastAsia="宋体" w:cs="宋体"/>
          <w:color w:val="000000"/>
          <w:sz w:val="24"/>
          <w:szCs w:val="24"/>
          <w:highlight w:val="none"/>
          <w:lang w:val="en-US" w:eastAsia="zh-CN"/>
        </w:rPr>
        <w:t xml:space="preserve">全部设备的供货到场，安装、调试、验收合格后交付采购人使用。</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ffff00"/>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13" w:name="_Toc28359003"/>
      <w:r/>
      <w:bookmarkStart w:id="14" w:name="_Toc35393622"/>
      <w:r/>
      <w:bookmarkStart w:id="15" w:name="_Toc38985264"/>
      <w:r/>
      <w:bookmarkStart w:id="16" w:name="_Toc35393791"/>
      <w:r/>
      <w:bookmarkStart w:id="17" w:name="_Toc28359080"/>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5"/>
        <w:ind w:firstLine="480"/>
        <w:jc w:val="both"/>
        <w:pageBreakBefore w:val="0"/>
        <w:spacing w:beforeAutospacing="0" w:afterAutospacing="0" w:line="336"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8985266"/>
      <w:r/>
      <w:bookmarkStart w:id="20" w:name="_Toc28359082"/>
      <w:r/>
      <w:bookmarkStart w:id="21" w:name="_Toc28359005"/>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36"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13</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8时30分</w:t>
      </w:r>
      <w:r>
        <w:rPr>
          <w:rFonts w:hint="eastAsia" w:ascii="宋体" w:hAnsi="宋体" w:eastAsia="宋体" w:cs="宋体"/>
          <w:color w:val="000000"/>
          <w:sz w:val="24"/>
          <w:szCs w:val="24"/>
          <w:highlight w:val="none"/>
          <w:shd w:val="clear" w:color="auto" w:fill="auto"/>
        </w:rPr>
        <w:t xml:space="preserve">（北京时间）</w:t>
      </w:r>
      <w:r/>
    </w:p>
    <w:p>
      <w:pPr>
        <w:pStyle w:val="695"/>
        <w:ind w:firstLine="480"/>
        <w:jc w:val="both"/>
        <w:pageBreakBefore w:val="0"/>
        <w:spacing w:beforeAutospacing="0" w:afterAutospacing="0" w:line="336"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bookmarkStart w:id="23" w:name="_Toc28359084"/>
      <w:r/>
      <w:bookmarkStart w:id="24" w:name="_Toc38985267"/>
      <w:r/>
      <w:bookmarkStart w:id="25" w:name="_Toc35393794"/>
      <w:r/>
      <w:bookmarkStart w:id="26" w:name="_Toc35393625"/>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95"/>
        <w:ind w:firstLine="482"/>
        <w:jc w:val="both"/>
        <w:keepLines/>
        <w:keepNext/>
        <w:pageBreakBefore w:val="0"/>
        <w:spacing w:beforeAutospacing="0" w:afterAutospacing="0" w:line="336"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36"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65"/>
        <w:ind w:left="0" w:right="0" w:firstLine="480"/>
        <w:jc w:val="both"/>
        <w:keepLines w:val="0"/>
        <w:keepNext w:val="0"/>
        <w:pageBreakBefore w:val="0"/>
        <w:spacing w:before="0" w:beforeAutospacing="0" w:after="0" w:afterAutospacing="0" w:line="336"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称：江苏省东台中学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址：江苏省盐城市东台市城东新区东城大道1号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联系人：顾先生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联系方式：18205017362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项目联系人：顾先生</w:t>
      </w:r>
      <w:r/>
    </w:p>
    <w:p>
      <w:pPr>
        <w:pStyle w:val="695"/>
        <w:ind w:left="0" w:right="0" w:firstLine="480"/>
        <w:jc w:val="both"/>
        <w:keepLines w:val="0"/>
        <w:keepNext w:val="0"/>
        <w:pageBreakBefore w:val="0"/>
        <w:spacing w:beforeAutospacing="0" w:afterAutospacing="0" w:line="336"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话：18205017362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695"/>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20823274"/>
      <w:r/>
      <w:bookmarkStart w:id="37" w:name="_Toc120614213"/>
      <w:r/>
      <w:bookmarkStart w:id="38" w:name="_Toc16938518"/>
      <w:r/>
      <w:bookmarkStart w:id="39" w:name="_Toc513029202"/>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695"/>
        <w:ind w:firstLine="498"/>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4" w:name="_Toc20823276"/>
      <w:r/>
      <w:bookmarkStart w:id="45" w:name="_Toc458694821"/>
      <w:r/>
      <w:bookmarkStart w:id="46" w:name="_Toc513029204"/>
      <w:r/>
      <w:bookmarkStart w:id="47" w:name="_Toc16938520"/>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49" w:name="_Toc513029205"/>
      <w:r/>
      <w:bookmarkStart w:id="50" w:name="_Toc16938521"/>
      <w:r/>
      <w:bookmarkStart w:id="51" w:name="_Toc20823277"/>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2" w:name="_Toc16938522"/>
      <w:r/>
      <w:bookmarkStart w:id="53" w:name="_Toc20823278"/>
      <w:r/>
      <w:bookmarkStart w:id="54" w:name="_Toc513029206"/>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695"/>
        <w:ind w:firstLine="42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695"/>
        <w:ind w:firstLine="60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695"/>
        <w:ind w:firstLine="321"/>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95"/>
        <w:ind w:firstLine="360"/>
        <w:jc w:val="both"/>
        <w:pageBreakBefore w:val="0"/>
        <w:spacing w:beforeAutospacing="0" w:afterAutospacing="0"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66" w:name="_Toc462564070"/>
      <w:r/>
      <w:bookmarkStart w:id="67" w:name="_Toc513029211"/>
      <w:r/>
      <w:bookmarkStart w:id="68" w:name="_Toc20823283"/>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0" w:name="_Toc513029212"/>
      <w:r/>
      <w:bookmarkStart w:id="71" w:name="_Toc20823284"/>
      <w:r/>
      <w:bookmarkStart w:id="72" w:name="_Toc462564071"/>
      <w:r/>
      <w:bookmarkStart w:id="73" w:name="_Toc16938528"/>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4" w:name="_Toc20823285"/>
      <w:r/>
      <w:bookmarkStart w:id="75" w:name="_Toc462564072"/>
      <w:r/>
      <w:bookmarkStart w:id="76" w:name="_Toc120614216"/>
      <w:r/>
      <w:bookmarkStart w:id="77" w:name="_Toc513029213"/>
      <w:r/>
      <w:bookmarkStart w:id="78" w:name="_Toc16938529"/>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695"/>
        <w:ind w:firstLine="56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3" w:name="_Toc20823287"/>
      <w:r/>
      <w:bookmarkStart w:id="84" w:name="_Toc16938531"/>
      <w:r/>
      <w:bookmarkStart w:id="85" w:name="_Toc462564074"/>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87" w:name="_Toc14577357"/>
      <w:r/>
      <w:bookmarkStart w:id="88" w:name="_Toc49090507"/>
      <w:r/>
      <w:bookmarkStart w:id="89" w:name="_Toc14577354"/>
      <w:r/>
      <w:bookmarkStart w:id="90" w:name="_Toc14577355"/>
      <w:r/>
      <w:bookmarkStart w:id="91" w:name="_Toc513029216"/>
      <w:r/>
      <w:bookmarkStart w:id="92" w:name="_Toc49090509"/>
      <w:r/>
      <w:bookmarkStart w:id="93" w:name="_Toc49090508"/>
      <w:r/>
      <w:bookmarkStart w:id="94" w:name="_Toc513029219"/>
      <w:r/>
      <w:bookmarkStart w:id="95" w:name="_Hlt26668975"/>
      <w:r/>
      <w:bookmarkStart w:id="96" w:name="_Hlt26954838"/>
      <w:r/>
      <w:bookmarkStart w:id="97" w:name="_Hlt26670360"/>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98" w:name="_Hlt26954846"/>
      <w:r/>
      <w:bookmarkStart w:id="99" w:name="_Hlt26954848"/>
      <w:r/>
      <w:bookmarkStart w:id="100" w:name="_Hlt26670486"/>
      <w:r/>
      <w:bookmarkStart w:id="101" w:name="_Hlt26670482"/>
      <w:r/>
      <w:bookmarkStart w:id="102"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9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07" w:name="_Toc20823296"/>
      <w:r/>
      <w:bookmarkStart w:id="108" w:name="_Toc16938540"/>
      <w:r/>
      <w:bookmarkStart w:id="109" w:name="_Toc120614217"/>
      <w:r/>
      <w:bookmarkStart w:id="110" w:name="_Toc513029224"/>
      <w:r/>
      <w:bookmarkStart w:id="111" w:name="_Hlt26954739"/>
      <w:r/>
      <w:bookmarkStart w:id="112" w:name="_Hlt26954852"/>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13" w:name="_Toc513029225"/>
      <w:r/>
      <w:bookmarkStart w:id="114" w:name="_Toc462564084"/>
      <w:r/>
      <w:bookmarkStart w:id="115" w:name="_Toc16938541"/>
      <w:r/>
      <w:bookmarkStart w:id="116" w:name="_Toc20823297"/>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695"/>
        <w:ind w:left="52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20823298"/>
      <w:r/>
      <w:bookmarkEnd w:id="117"/>
      <w:r/>
      <w:bookmarkStart w:id="118" w:name="_Toc16938542"/>
      <w:r/>
      <w:bookmarkEnd w:id="118"/>
      <w:r/>
      <w:bookmarkStart w:id="119" w:name="_Toc513029226"/>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0" w:name="_Toc20823299"/>
      <w:r/>
      <w:bookmarkStart w:id="121" w:name="_Toc513029227"/>
      <w:r/>
      <w:bookmarkStart w:id="122" w:name="_Toc16938543"/>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3" w:name="_Toc16938544"/>
      <w:r/>
      <w:bookmarkStart w:id="124" w:name="_Toc513029228"/>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26" w:name="_Toc513029229"/>
      <w:r/>
      <w:bookmarkStart w:id="127" w:name="_Toc20823301"/>
      <w:r/>
      <w:bookmarkStart w:id="128" w:name="_Toc16938545"/>
      <w:r/>
      <w:bookmarkStart w:id="129" w:name="_Toc120614218"/>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0" w:name="_Toc16938546"/>
      <w:r/>
      <w:bookmarkStart w:id="131" w:name="_Toc20823302"/>
      <w:r/>
      <w:bookmarkStart w:id="132" w:name="_Toc513029230"/>
      <w:r>
        <w:rPr>
          <w:rFonts w:hint="eastAsia" w:ascii="宋体" w:hAnsi="宋体" w:eastAsia="宋体" w:cs="宋体"/>
          <w:color w:val="000000"/>
          <w:sz w:val="24"/>
          <w:szCs w:val="24"/>
          <w:highlight w:val="none"/>
        </w:rPr>
        <w:t xml:space="preserve">22、开标</w:t>
      </w:r>
      <w:bookmarkEnd w:id="130"/>
      <w:r/>
      <w:bookmarkEnd w:id="131"/>
      <w:r/>
      <w:bookmarkEnd w:id="132"/>
      <w:r/>
      <w:r/>
    </w:p>
    <w:p>
      <w:pPr>
        <w:pStyle w:val="695"/>
        <w:ind w:firstLine="36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3" w:name="_Toc20823303"/>
      <w:r/>
      <w:bookmarkStart w:id="134" w:name="_Toc513029231"/>
      <w:r/>
      <w:bookmarkStart w:id="135" w:name="_Toc16938547"/>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695"/>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均不得向投标人或与评标无关的其他人员透露。</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36" w:name="_Toc20823304"/>
      <w:r/>
      <w:bookmarkStart w:id="137" w:name="_Toc513029232"/>
      <w:r/>
      <w:bookmarkStart w:id="138" w:name="_Toc16938548"/>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39" w:name="_Toc20823305"/>
      <w:r/>
      <w:bookmarkStart w:id="140" w:name="_Toc16938549"/>
      <w:r/>
      <w:bookmarkStart w:id="141"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95"/>
        <w:ind w:firstLine="42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695"/>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9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95"/>
        <w:ind w:left="479"/>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95"/>
        <w:ind w:firstLine="36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695"/>
        <w:ind w:firstLine="480"/>
        <w:jc w:val="both"/>
        <w:pageBreakBefore w:val="0"/>
        <w:spacing w:beforeAutospacing="0" w:afterAutospacing="0" w:line="288"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95"/>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95"/>
        <w:ind w:firstLine="482"/>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w:t>
      </w:r>
      <w:r>
        <w:rPr>
          <w:rFonts w:hint="eastAsia" w:ascii="宋体" w:hAnsi="宋体" w:eastAsia="宋体" w:cs="宋体"/>
          <w:color w:val="auto"/>
          <w:sz w:val="24"/>
          <w:szCs w:val="24"/>
          <w:highlight w:val="none"/>
          <w:lang w:val="en-US" w:eastAsia="zh-CN"/>
        </w:rPr>
        <w:t xml:space="preserve">详见招标公告采购人信息</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95"/>
        <w:ind w:firstLine="468"/>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5"/>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3" w:name="_Toc20823308"/>
      <w:r/>
      <w:bookmarkStart w:id="154" w:name="_Toc513029236"/>
      <w:r/>
      <w:bookmarkStart w:id="155" w:name="_Toc16938552"/>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bookmarkStart w:id="157" w:name="_Toc513029237"/>
      <w:r/>
      <w:bookmarkStart w:id="158" w:name="_Toc16938553"/>
      <w:r/>
      <w:bookmarkStart w:id="159" w:name="_Toc20823309"/>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95"/>
        <w:ind w:firstLine="600"/>
        <w:jc w:val="both"/>
        <w:pageBreakBefore w:val="0"/>
        <w:spacing w:beforeAutospacing="0" w:afterAutospacing="0" w:line="288"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95"/>
        <w:ind w:firstLine="600"/>
        <w:jc w:val="both"/>
        <w:keepLines/>
        <w:keepNext/>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95"/>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5"/>
        <w:numPr>
          <w:ilvl w:val="0"/>
          <w:numId w:val="0"/>
        </w:numPr>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5"/>
        <w:ind w:firstLine="48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5"/>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88"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56"/>
        <w:ind w:left="0" w:firstLine="560"/>
        <w:pageBreakBefore w:val="0"/>
        <w:spacing w:after="0"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pageBreakBefore w:val="0"/>
        <w:spacing w:line="288"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left="0" w:right="0" w:firstLine="468"/>
        <w:jc w:val="both"/>
        <w:spacing w:before="300" w:after="12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35.本项目采购代理费按代理合同由采购人支付代理费1990.80元。</w:t>
      </w:r>
      <w:r/>
    </w:p>
    <w:p>
      <w:pPr>
        <w:pStyle w:val="856"/>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sz w:val="36"/>
          <w:szCs w:val="44"/>
          <w:highlight w:val="none"/>
        </w:rPr>
      </w:pPr>
      <w:r>
        <w:rPr>
          <w:sz w:val="36"/>
          <w:szCs w:val="44"/>
          <w:highlight w:val="none"/>
        </w:rPr>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60" w:name="_Toc479757211"/>
      <w:r/>
      <w:bookmarkStart w:id="161" w:name="_Toc462564139"/>
      <w:r/>
      <w:bookmarkStart w:id="162" w:name="_Toc120614244"/>
      <w:r/>
      <w:bookmarkStart w:id="163" w:name="_Toc16938590"/>
      <w:r/>
      <w:bookmarkStart w:id="164" w:name="_Toc20823346"/>
      <w:r/>
      <w:bookmarkStart w:id="165" w:name="_Hlt16619350"/>
      <w:r/>
      <w:bookmarkStart w:id="166"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168"/>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r/>
    </w:p>
    <w:p>
      <w:pPr>
        <w:ind w:left="0" w:firstLine="482"/>
        <w:jc w:val="center"/>
        <w:keepLines w:val="0"/>
        <w:keepNext w:val="0"/>
        <w:pageBreakBefore w:val="0"/>
        <w:spacing w:after="157" w:line="360" w:lineRule="auto"/>
        <w:widowControl w:val="off"/>
        <w:rPr>
          <w:rFonts w:hint="eastAsia" w:ascii="黑体" w:hAnsi="黑体" w:eastAsia="黑体"/>
          <w:sz w:val="32"/>
          <w:szCs w:val="32"/>
          <w:highlight w:val="none"/>
        </w:rPr>
      </w:pPr>
      <w:r/>
      <w:bookmarkStart w:id="169" w:name="_Toc22209"/>
      <w:r>
        <w:rPr>
          <w:rFonts w:hint="eastAsia" w:ascii="宋体" w:hAnsi="宋体"/>
          <w:b/>
          <w:color w:val="000000"/>
          <w:sz w:val="32"/>
          <w:szCs w:val="28"/>
        </w:rPr>
        <w:t xml:space="preserve">政府采购合同（货物格式）</w:t>
      </w:r>
      <w:r/>
    </w:p>
    <w:p>
      <w:pPr>
        <w:ind w:left="0" w:firstLine="480"/>
        <w:jc w:val="left"/>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95"/>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0"/>
        </w:numPr>
        <w:ind w:left="479"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甲、</w:t>
      </w:r>
      <w:r>
        <w:rPr>
          <w:rFonts w:hint="eastAsia" w:ascii="宋体" w:hAnsi="宋体" w:eastAsia="宋体" w:cs="宋体"/>
          <w:color w:val="auto"/>
          <w:sz w:val="24"/>
          <w:szCs w:val="24"/>
          <w:highlight w:val="none"/>
        </w:rPr>
        <w:t xml:space="preserve">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公开招标的结果，签署本合同。</w:t>
      </w:r>
      <w:r/>
    </w:p>
    <w:p>
      <w:pPr>
        <w:numPr>
          <w:ilvl w:val="0"/>
          <w:numId w:val="0"/>
        </w:numPr>
        <w:ind w:left="479"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default" w:ascii="宋体" w:hAnsi="宋体" w:eastAsia="宋体" w:cs="宋体"/>
          <w:b/>
          <w:bCs/>
          <w:color w:val="000000"/>
          <w:sz w:val="24"/>
          <w:szCs w:val="24"/>
          <w:lang w:val="en-US" w:eastAsia="zh-CN" w:bidi="ar-SA"/>
        </w:rPr>
        <w:t xml:space="preserve">一、</w:t>
      </w:r>
      <w:r>
        <w:rPr>
          <w:rFonts w:hint="eastAsia" w:ascii="宋体" w:hAnsi="宋体" w:eastAsia="宋体" w:cs="宋体"/>
          <w:b/>
          <w:bCs/>
          <w:color w:val="000000"/>
          <w:sz w:val="24"/>
          <w:szCs w:val="24"/>
        </w:rPr>
        <w:t xml:space="preserve">合同价款及中标内容清单：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），该费率包括（但不限于）人工、材料、运输、安装、调试、设计、车旅、驻点人员的食宿、安全、培训、售后服务、税费等全部项目的费用。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2.中标内容清单及内容</w:t>
      </w:r>
      <w:r/>
    </w:p>
    <w:tbl>
      <w:tblPr>
        <w:tblStyle w:val="6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jc w:val="center"/>
          <w:trHeight w:val="90"/>
        </w:trPr>
        <w:tc>
          <w:tcPr>
            <w:tcW w:w="144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2952"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型号规格参数</w:t>
            </w:r>
            <w:r/>
          </w:p>
        </w:tc>
        <w:tc>
          <w:tcPr>
            <w:tcW w:w="136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  量</w:t>
            </w:r>
            <w:r/>
          </w:p>
        </w:tc>
        <w:tc>
          <w:tcPr>
            <w:tcW w:w="109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  价</w:t>
            </w:r>
            <w:r/>
          </w:p>
        </w:tc>
        <w:tc>
          <w:tcPr>
            <w:tcW w:w="142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  价</w:t>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pStyle w:val="686"/>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2952" w:type="dxa"/>
            <w:vAlign w:val="center"/>
            <w:textDirection w:val="lrTb"/>
            <w:noWrap w:val="false"/>
          </w:tcPr>
          <w:p>
            <w:pPr>
              <w:pStyle w:val="686"/>
              <w:ind w:left="0" w:firstLine="480"/>
              <w:keepLines w:val="0"/>
              <w:keepNext w:val="0"/>
              <w:pageBreakBefore w:val="0"/>
              <w:spacing w:line="240" w:lineRule="auto"/>
              <w:widowControl w:val="off"/>
              <w:tabs>
                <w:tab w:val="clear" w:pos="4153" w:leader="none"/>
                <w:tab w:val="clear" w:pos="8306" w:leader="none"/>
              </w:tabs>
              <w:rPr>
                <w:rFonts w:hint="eastAsia" w:ascii="宋体" w:hAnsi="宋体" w:eastAsia="宋体" w:cs="宋体"/>
                <w:sz w:val="24"/>
                <w:szCs w:val="24"/>
              </w:rPr>
              <w:pBdr>
                <w:bottom w:val="none" w:color="auto" w:sz="0" w:space="0"/>
              </w:pBd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74"/>
        </w:trPr>
        <w:tc>
          <w:tcPr>
            <w:tcW w:w="1440"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952"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368" w:type="dxa"/>
            <w:vAlign w:val="center"/>
            <w:textDirection w:val="lrTb"/>
            <w:noWrap w:val="false"/>
          </w:tcPr>
          <w:p>
            <w:pPr>
              <w:ind w:left="0" w:firstLine="48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84"/>
        </w:trPr>
        <w:tc>
          <w:tcPr>
            <w:gridSpan w:val="5"/>
            <w:tcW w:w="8280" w:type="dxa"/>
            <w:vAlign w:val="center"/>
            <w:textDirection w:val="lrTb"/>
            <w:noWrap w:val="false"/>
          </w:tcPr>
          <w:p>
            <w:pPr>
              <w:ind w:left="0"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总价（大写）：</w:t>
            </w:r>
            <w:r/>
          </w:p>
        </w:tc>
      </w:tr>
    </w:tbl>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二、供货时间、地点及验收方法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1.供货时间及地点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日内全部安装调试完毕，并通过验收。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2.质量要求：产品为全新未使用过的合格正品，产品及安装质量应符合各项技术标准和国家强制性标准，并满足招标人的实际使用需求。</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售后服务要求：</w:t>
      </w:r>
      <w:r/>
    </w:p>
    <w:p>
      <w:pPr>
        <w:ind w:left="0" w:firstLine="480"/>
        <w:keepLines w:val="0"/>
        <w:keepNext w:val="0"/>
        <w:pageBreakBefore w:val="0"/>
        <w:spacing w:line="360" w:lineRule="auto"/>
        <w:widowControl w:val="off"/>
        <w:rPr>
          <w:rFonts w:hint="eastAsia" w:ascii="宋体" w:hAnsi="宋体" w:eastAsia="宋体" w:cs="宋体"/>
          <w:color w:val="0070c0"/>
          <w:sz w:val="24"/>
          <w:szCs w:val="24"/>
          <w:u w:val="single"/>
        </w:rPr>
      </w:pPr>
      <w:r>
        <w:rPr>
          <w:rFonts w:hint="eastAsia" w:ascii="宋体" w:hAnsi="宋体" w:eastAsia="宋体" w:cs="宋体"/>
          <w:sz w:val="24"/>
          <w:szCs w:val="24"/>
        </w:rPr>
        <w:t xml:space="preserve">（1）产品的质量保证期及售后服务期为</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u w:val="none"/>
        </w:rPr>
        <w:t xml:space="preserve">年</w:t>
      </w:r>
      <w:r>
        <w:rPr>
          <w:rFonts w:hint="eastAsia" w:ascii="宋体" w:hAnsi="宋体" w:eastAsia="宋体" w:cs="宋体"/>
          <w:sz w:val="24"/>
          <w:szCs w:val="24"/>
        </w:rPr>
        <w:t xml:space="preserve">。(质保期以项目最终验收之日起算）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（2）投标产品属于国家规定“三包”范围的，其产品的质量保证期不得低于“三包”规定。供应商的质量保证期承诺优于国家“三包”规定的，按供应商实际承诺执行；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（4）质量保证期满后，供应商和厂家应同样提供免费电话咨询服务，并以优惠价格提供售后服务；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（5）乙方需根据使用人员岗位的不同制定培训计划，考核内容，对各个部门进行针对性较强的培训工作，确保关键内容及关键岗位全部培训到位，能够独立运营系统,并能进行简单的故障排除。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（6）项目实施完成后，乙方需指定专门的售后服务工程师负责本项目的售后服务工作,并提供现场服务，及时检查并处理问题，并负责新进人员的培训工作。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（7）技术资料要求：提供完整的技术资料，包括：产品验收标准（含产品合格证、验收清单等）；维修手册各一套，操作手册两套及合同中要求的其他文件资料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（8）本项目质量保证期内乙方须每月接到甲方通知后对设备设施进行一次巡查检修，保障正常稳定使用，延迟或检修不到位的按500元/天从合同余款中扣除违约金直至通过验收。</w:t>
      </w:r>
      <w:r/>
    </w:p>
    <w:p>
      <w:pPr>
        <w:ind w:left="0"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lang w:eastAsia="zh-CN"/>
        </w:rPr>
        <w:t xml:space="preserve">）竣工验收之前</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须提供各功能室的环境检测报告。</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4.验收方法</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硬件验收标准具体如下: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A、产品为全新，未使用过的原装合格正品，安装质量符合各项技术标准和国家强制性标准；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B、货物到达现场后，乙方必须在使用单位人员在场情况下当面开箱，共同清点、检查外观，作出开箱记录，双方签字确认。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Ｃ、乙方应保证货物到达甲方所在地完好无损，如有缺漏、损坏，由乙方负责调换、补齐或赔偿。</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Ｄ、乙方应提供完备的技术资料、装箱单和合格证等，验收合格条件（标准）如下：</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①设备技术参数与采购合同一致，性能指标达到规定的标准。</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②货物技术资料、装箱单、合格证等资料齐全。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③在系统试运行期间所出现的问题得到解决，并运行正常。</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④在规定时间内完成交货并验收，并经甲方确认。</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Ｅ、乙方须完成甲方所有采购的软硬件产品安装调试工作，须符合甲方要求并试运行1个月后，才作为最终验收。</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Ｆ、乙方提供的货物未达到采购文件规定要求，且对甲方造成损失的，由乙方承担一切责任，并赔偿所造成的损失。</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Ｇ、甲方可邀请国家认可的质量检测机构参加验收工作。</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Ｈ、甲方需要制造商对乙方交付的产品（包括质量、技术参数等）进行确认的，乙方须无条件配合，并出具书面确认证明。</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Ｉ、产品包装材料归甲方所有。</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在安装调试完毕后的30日内，甲方对乙方所供货物的技术性能和参数等方面的问题有提出异议的权利。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验收方法：全部货物安装调试完毕后30日内，由甲方邀请相关专业人员，按照招标文件的要求和现行技术标准、强制性标准对所供货物的技术性能、技术参数、安装质量等进行验收，并形成验收意见。</w:t>
      </w:r>
      <w:r/>
    </w:p>
    <w:p>
      <w:p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三、合同款项的支付方式及进度安排</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1、自合同签订生效之日起，收到乙方发票10个工作日内，甲方向乙方支付合同总价的30%款项作为预付款；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2、所有货物安装完毕，甲方组织初步验收，初步验收合格后收到乙方发票10个工作日内甲方向乙方支付至合同总价的80%款项；</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3、初步验收合格且项目运行满12个月后，甲方组织最终验收，最终验收合格后收到乙方发票10个工作日内甲方付清货款。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 发票；</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 制造厂家出具的质量检验证书等；</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 装箱单；</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 甲方加盖公章证明交付使用合格的验收单。</w:t>
      </w:r>
      <w:r/>
    </w:p>
    <w:p>
      <w:pPr>
        <w:ind w:left="0"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四、履约保证金及售后服务承诺</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乙方交纳人民币</w:t>
      </w:r>
      <w:r>
        <w:rPr>
          <w:rFonts w:hint="eastAsia" w:ascii="宋体" w:hAnsi="宋体" w:eastAsia="宋体" w:cs="宋体"/>
          <w:sz w:val="24"/>
          <w:szCs w:val="24"/>
          <w:u w:val="single"/>
          <w:lang w:val="en-US" w:eastAsia="zh-CN"/>
        </w:rPr>
        <w:t xml:space="preserve"> 中标</w:t>
      </w:r>
      <w:r>
        <w:rPr>
          <w:rFonts w:hint="eastAsia" w:ascii="宋体" w:hAnsi="宋体" w:eastAsia="宋体" w:cs="宋体"/>
          <w:sz w:val="24"/>
          <w:szCs w:val="24"/>
          <w:u w:val="single"/>
        </w:rPr>
        <w:t xml:space="preserve">金额的10%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元作为本合同的履约保证金。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szCs w:val="24"/>
          <w:u w:val="single"/>
          <w:lang w:val="en-US" w:eastAsia="zh-CN"/>
        </w:rPr>
        <w:t xml:space="preserve"> 否 </w:t>
      </w:r>
      <w:r>
        <w:rPr>
          <w:rFonts w:hint="eastAsia" w:ascii="宋体" w:hAnsi="宋体" w:eastAsia="宋体" w:cs="宋体"/>
          <w:sz w:val="24"/>
          <w:szCs w:val="24"/>
          <w:lang w:val="en-US" w:eastAsia="zh-CN"/>
        </w:rPr>
        <w:t xml:space="preserve">免收 ，降低履约保证金缴纳比例</w:t>
      </w:r>
      <w:r>
        <w:rPr>
          <w:rFonts w:hint="eastAsia" w:ascii="宋体" w:hAnsi="宋体" w:eastAsia="宋体" w:cs="宋体"/>
          <w:sz w:val="24"/>
          <w:szCs w:val="24"/>
          <w:u w:val="single"/>
          <w:lang w:val="en-US" w:eastAsia="zh-CN"/>
        </w:rPr>
        <w:t xml:space="preserve"> 100 </w:t>
      </w:r>
      <w:r>
        <w:rPr>
          <w:rFonts w:hint="eastAsia" w:ascii="宋体" w:hAnsi="宋体" w:eastAsia="宋体" w:cs="宋体"/>
          <w:sz w:val="24"/>
          <w:szCs w:val="24"/>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合同履行结束后，甲方应及时退还交纳的履约保证金。</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履约保证金的退还：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.1方式：无息退还至投标人缴纳履约保证金的账户。如为保函，在到期时自行失效。</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2时间：验收合格且采购人收到发票后30日内。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.3条件：按合同要求全部履约完成并经采购人验收合格，且采购人收到中标人出具的发票。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.4不予退还情形：</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五年维保</w:t>
      </w:r>
      <w:r>
        <w:rPr>
          <w:rFonts w:hint="eastAsia" w:ascii="宋体" w:hAnsi="宋体" w:eastAsia="宋体" w:cs="宋体"/>
          <w:sz w:val="24"/>
          <w:szCs w:val="24"/>
        </w:rPr>
        <w:t xml:space="preserve">期内所供货物发生故障时，</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小时内到场维修，无法修复时，须在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小时内提供备用产品，否则甲方有权自行处理，其</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费用在乙方</w:t>
      </w:r>
      <w:r>
        <w:rPr>
          <w:rFonts w:hint="eastAsia" w:ascii="宋体" w:hAnsi="宋体" w:eastAsia="宋体" w:cs="宋体"/>
          <w:sz w:val="24"/>
          <w:szCs w:val="24"/>
          <w:lang w:val="en-US" w:eastAsia="zh-CN"/>
        </w:rPr>
        <w:t xml:space="preserve">维保费</w:t>
      </w:r>
      <w:r>
        <w:rPr>
          <w:rFonts w:hint="eastAsia" w:ascii="宋体" w:hAnsi="宋体" w:eastAsia="宋体" w:cs="宋体"/>
          <w:sz w:val="24"/>
          <w:szCs w:val="24"/>
        </w:rPr>
        <w:t xml:space="preserve">中扣除。</w:t>
      </w:r>
      <w:r>
        <w:rPr>
          <w:rFonts w:hint="eastAsia" w:ascii="宋体" w:hAnsi="宋体" w:eastAsia="宋体" w:cs="宋体"/>
          <w:sz w:val="24"/>
          <w:szCs w:val="24"/>
          <w:lang w:val="en-US" w:eastAsia="zh-CN"/>
        </w:rPr>
        <w:t xml:space="preserve">维保期内达三次不到场的甲方有权扣除当年维保费用。</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所有货物免费送达甲方指定地点，货物的托运、安装及预装常用软件（如需要）等，均不需另行付费。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根据厂方的规定对所供货物进行保修，在质量保证期内，乙方不得收取任何费用；质量保证期满后，乙方对用户货物的维修，只收成本费，并提供终生技术服务。</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如</w:t>
      </w:r>
      <w:r>
        <w:rPr>
          <w:rFonts w:hint="eastAsia" w:ascii="宋体" w:hAnsi="宋体" w:eastAsia="宋体" w:cs="宋体"/>
          <w:sz w:val="24"/>
          <w:szCs w:val="24"/>
          <w:lang w:val="en-US" w:eastAsia="zh-CN"/>
        </w:rPr>
        <w:t xml:space="preserve">因</w:t>
      </w:r>
      <w:r>
        <w:rPr>
          <w:rFonts w:hint="eastAsia" w:ascii="宋体" w:hAnsi="宋体" w:eastAsia="宋体" w:cs="宋体"/>
          <w:sz w:val="24"/>
          <w:szCs w:val="24"/>
        </w:rPr>
        <w:t xml:space="preserve">使用不当造成货物的毁损，乙方有义务协助维修。</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甲乙双方必须遵守本合同并执行合同中的各项约定，保证本合同的正常履行。</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如因甲方未能按合同规定履行经费支付，造成乙方难以正常开展服务活动，由甲方承担责任。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5.3在服务过程中，因乙方造成重大社会影响、安全事故或合同内容未完成的，由乙方承担责任。</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5.4 发生合同纠纷，双方协商解决，协商不成的，依法向甲方所在地人民法院提起诉讼。</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六、其他条款：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本项目不得转包、分包，否则甲方有权单方面解除合同，乙方须无条件撤出</w:t>
      </w:r>
      <w:r>
        <w:rPr>
          <w:rFonts w:hint="eastAsia" w:ascii="宋体" w:hAnsi="宋体" w:eastAsia="宋体" w:cs="宋体"/>
          <w:color w:val="000000"/>
          <w:sz w:val="24"/>
          <w:szCs w:val="24"/>
          <w:u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single"/>
        </w:rPr>
        <w:t xml:space="preserve">供应商应按照甲方</w:t>
      </w:r>
      <w:r>
        <w:rPr>
          <w:rFonts w:hint="eastAsia" w:ascii="宋体" w:hAnsi="宋体" w:eastAsia="宋体" w:cs="宋体"/>
          <w:color w:val="000000"/>
          <w:sz w:val="24"/>
          <w:szCs w:val="24"/>
          <w:u w:val="single"/>
          <w:lang w:val="en-US" w:eastAsia="zh-CN"/>
        </w:rPr>
        <w:t xml:space="preserve">要求</w:t>
      </w:r>
      <w:r>
        <w:rPr>
          <w:rFonts w:hint="eastAsia" w:ascii="宋体" w:hAnsi="宋体" w:eastAsia="宋体" w:cs="宋体"/>
          <w:color w:val="000000"/>
          <w:sz w:val="24"/>
          <w:szCs w:val="24"/>
          <w:u w:val="single"/>
        </w:rPr>
        <w:t xml:space="preserve">，对甲方指定的原有</w:t>
      </w:r>
      <w:r>
        <w:rPr>
          <w:rFonts w:hint="eastAsia" w:ascii="宋体" w:hAnsi="宋体" w:eastAsia="宋体" w:cs="宋体"/>
          <w:color w:val="000000"/>
          <w:sz w:val="24"/>
          <w:szCs w:val="24"/>
          <w:u w:val="single"/>
          <w:lang w:val="en-US" w:eastAsia="zh-CN"/>
        </w:rPr>
        <w:t xml:space="preserve">场地</w:t>
      </w:r>
      <w:r>
        <w:rPr>
          <w:rFonts w:hint="eastAsia" w:ascii="宋体" w:hAnsi="宋体" w:eastAsia="宋体" w:cs="宋体"/>
          <w:color w:val="000000"/>
          <w:sz w:val="24"/>
          <w:szCs w:val="24"/>
          <w:u w:val="single"/>
        </w:rPr>
        <w:t xml:space="preserve">货物搬运</w:t>
      </w:r>
      <w:r>
        <w:rPr>
          <w:rFonts w:hint="eastAsia" w:ascii="宋体" w:hAnsi="宋体" w:eastAsia="宋体" w:cs="宋体"/>
          <w:color w:val="000000"/>
          <w:sz w:val="24"/>
          <w:szCs w:val="24"/>
          <w:u w:val="single"/>
          <w:lang w:val="en-US" w:eastAsia="zh-CN"/>
        </w:rPr>
        <w:t xml:space="preserve">至甲方指定地点</w:t>
      </w:r>
      <w:r>
        <w:rPr>
          <w:rFonts w:hint="eastAsia" w:ascii="宋体" w:hAnsi="宋体" w:eastAsia="宋体" w:cs="宋体"/>
          <w:color w:val="000000"/>
          <w:sz w:val="24"/>
          <w:szCs w:val="24"/>
          <w:u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color w:val="000000"/>
          <w:sz w:val="24"/>
          <w:szCs w:val="24"/>
        </w:rPr>
        <w:t xml:space="preserve">本合</w:t>
      </w:r>
      <w:r>
        <w:rPr>
          <w:rFonts w:hint="eastAsia" w:ascii="宋体" w:hAnsi="宋体" w:eastAsia="宋体" w:cs="宋体"/>
          <w:b/>
          <w:sz w:val="24"/>
          <w:szCs w:val="24"/>
        </w:rPr>
        <w:t xml:space="preserve">同由下列文件共同构成：</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3.采购人的招标文件及其补充（答疑）资料；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4.中标人的投标文件及其补充（澄清）资料。</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、本合同未尽事宜，由甲、乙双方依据招标文件、中标人的投标文件另行协商解决。</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份，甲乙双方各执一份，其余用于相关单位存档。</w:t>
      </w:r>
      <w:r/>
    </w:p>
    <w:p>
      <w:pPr>
        <w:ind w:left="0" w:firstLine="480"/>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sz w:val="24"/>
          <w:szCs w:val="24"/>
        </w:rPr>
        <w:t xml:space="preserve">十、采购人或其委托的代理机构应当自政府采购合同签订之日起</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个工作日内，将政府采购合同的扫描件（PDF格式）传送政府采购交易执行系统实施网上备案，经东台市财政局审核后，网上公示。</w:t>
      </w:r>
      <w:r/>
    </w:p>
    <w:p>
      <w:pPr>
        <w:spacing w:line="360" w:lineRule="auto"/>
        <w:rPr>
          <w:rFonts w:ascii="楷体_GB2312" w:eastAsia="楷体_GB2312"/>
        </w:rPr>
      </w:pPr>
      <w:r>
        <w:rPr>
          <w:rFonts w:ascii="楷体_GB2312" w:eastAsia="楷体_GB2312"/>
        </w:rPr>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5"/>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95"/>
        <w:ind w:left="0" w:firstLine="480"/>
        <w:jc w:val="left"/>
        <w:keepLines w:val="0"/>
        <w:keepNext w:val="0"/>
        <w:pageBreakBefore w:val="0"/>
        <w:spacing w:beforeAutospacing="0" w:afterAutospacing="0"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spacing w:line="480" w:lineRule="auto"/>
        <w:rPr>
          <w:rFonts w:hint="eastAsia" w:ascii="黑体" w:hAnsi="黑体" w:eastAsia="黑体"/>
          <w:sz w:val="28"/>
          <w:szCs w:val="28"/>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spacing w:line="360" w:lineRule="auto"/>
        <w:rPr>
          <w:rFonts w:hint="eastAsia" w:ascii="黑体" w:hAnsi="黑体" w:eastAsia="黑体"/>
          <w:sz w:val="28"/>
          <w:szCs w:val="28"/>
          <w:highlight w:val="none"/>
        </w:rPr>
      </w:pPr>
      <w:r>
        <w:rPr>
          <w:rFonts w:hint="eastAsia" w:ascii="黑体" w:hAnsi="黑体" w:eastAsia="黑体"/>
          <w:sz w:val="28"/>
          <w:szCs w:val="28"/>
          <w:highlight w:val="none"/>
        </w:rPr>
        <w:br w:type="page" w:clear="all"/>
      </w:r>
      <w:bookmarkEnd w:id="169"/>
      <w:r/>
      <w:r/>
    </w:p>
    <w:p>
      <w:pPr>
        <w:pStyle w:val="69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95"/>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0" w:name="_Toc49090575"/>
      <w:r/>
      <w:bookmarkStart w:id="171" w:name="_Toc26554093"/>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70"/>
      <w:r/>
      <w:bookmarkEnd w:id="171"/>
      <w:r/>
      <w:r/>
    </w:p>
    <w:p>
      <w:pPr>
        <w:pStyle w:val="695"/>
        <w:jc w:val="both"/>
        <w:spacing w:beforeAutospacing="0" w:afterAutospacing="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产品名称：书画社-交互式书画桌系统</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69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95"/>
        <w:jc w:val="both"/>
        <w:spacing w:beforeAutospacing="0" w:afterAutospacing="0"/>
        <w:rPr>
          <w:rFonts w:hint="eastAsia" w:ascii="宋体" w:hAnsi="宋体" w:eastAsia="宋体" w:cs="宋体"/>
          <w:b/>
          <w:bCs/>
          <w:i/>
          <w:iCs w:val="0"/>
          <w:color w:val="auto"/>
          <w:sz w:val="24"/>
          <w:szCs w:val="24"/>
          <w:highlight w:val="none"/>
          <w:u w:val="none"/>
          <w:shd w:val="clear" w:color="auto" w:fill="auto"/>
          <w:lang w:val="en-US" w:eastAsia="zh-CN"/>
        </w:rPr>
      </w:pPr>
      <w:r>
        <w:rPr>
          <w:rFonts w:hint="eastAsia" w:ascii="宋体" w:hAnsi="宋体" w:eastAsia="宋体" w:cs="宋体"/>
          <w:b/>
          <w:bCs/>
          <w:i/>
          <w:iCs w:val="0"/>
          <w:color w:val="auto"/>
          <w:sz w:val="24"/>
          <w:szCs w:val="24"/>
          <w:highlight w:val="none"/>
          <w:u w:val="none"/>
          <w:shd w:val="clear" w:color="auto" w:fill="auto"/>
          <w:lang w:val="en-US" w:eastAsia="zh-CN"/>
        </w:rPr>
        <w:t xml:space="preserve">（三）招标内容功能要求</w:t>
      </w:r>
      <w:r/>
    </w:p>
    <w:tbl>
      <w:tblPr>
        <w:tblStyle w:val="67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6"/>
        <w:gridCol w:w="1287"/>
        <w:gridCol w:w="5287"/>
        <w:gridCol w:w="754"/>
        <w:gridCol w:w="793"/>
      </w:tblGrid>
      <w:tr>
        <w:trPr>
          <w:jc w:val="center"/>
          <w:trHeight w:val="702"/>
        </w:trPr>
        <w:tc>
          <w:tcPr>
            <w:shd w:val="clear" w:color="auto" w:fill="ffffff"/>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ffffff"/>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ffffff"/>
            <w:tcW w:w="5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相关信息及参数说明</w:t>
            </w:r>
            <w:r/>
          </w:p>
        </w:tc>
        <w:tc>
          <w:tcPr>
            <w:shd w:val="clear" w:color="auto" w:fill="ffffff"/>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单位</w:t>
            </w:r>
            <w:r/>
          </w:p>
        </w:tc>
        <w:tc>
          <w:tcPr>
            <w:shd w:val="clear" w:color="auto" w:fill="ffffff"/>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数量</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12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w:t>
            </w:r>
            <w:r>
              <w:rPr>
                <w:rFonts w:hint="eastAsia" w:ascii="宋体" w:hAnsi="宋体" w:eastAsia="宋体" w:cs="宋体"/>
                <w:i w:val="0"/>
                <w:iCs w:val="0"/>
                <w:color w:val="auto"/>
                <w:sz w:val="20"/>
                <w:szCs w:val="20"/>
                <w:u w:val="none"/>
                <w:lang w:val="en-US" w:eastAsia="zh-CN" w:bidi="ar"/>
              </w:rPr>
              <w:t xml:space="preserve">息参数：定制超薄书画造型造型矩阵光源8W/㎡，光通量：≥3200lm，色温：4000K（自然光色）。显色指数：Ra≥92，防护等级：IP20。特性：低压24V供电，铝合金散热背板。嵌入式无边框COB射灯模块，7W/10W/14W，光效：≥110lm/W，色温：3000K-6500K（±50K），显色指数：Ra≥95（R9&gt;90），光束角：24°/36°/60°，防护等级：IP44。安装方式：半嵌入式造型结合。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国学主题元素艺术装饰。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艺术浅浮雕。高分子涂层书画元素雕刻装饰。定制异形艺术雕刻部件。定制成品浮雕纹油画饰面板。环保木质地脚围板。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高分子涂层书画元素雕刻装饰。定制异形艺术雕刻部件。定制成品浮雕纹油画饰面板。定制仿古金属格栅镂空造型。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书画社-木制书法用具陈列区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1、信息参数：7000*3000mm，主体结构组件采用18mm实木多层基材，表面采用高分子装饰层（厚度≥3mm，邵氏硬度60±5）。静态承重≥200kg/m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w:t>
            </w:r>
            <w:r>
              <w:rPr>
                <w:rFonts w:hint="eastAsia" w:ascii="宋体" w:hAnsi="宋体" w:eastAsia="宋体" w:cs="宋体"/>
                <w:color w:val="auto"/>
                <w:sz w:val="20"/>
                <w:szCs w:val="20"/>
                <w:u w:val="none"/>
                <w:lang w:val="en-US" w:eastAsia="zh-CN" w:bidi="ar"/>
              </w:rPr>
              <w:t xml:space="preserve">曲试验）。剥离强度≥120N/cm（纵向，GB/T 2791-1995标准）。墙体基层采用E1级环保细木工板（规格1220×2440×15mm，含水率≤12%，抗弯强度≥15MPa）作为基层，自攻螺钉间距≤200mm，接缝预留5mm伸缩缝并填充防火密封胶。定制生态木展墙选用密度≥0.7g/cm³的材质，防火等级B1级，防潮性能吸水率≤1.5%。通过凹槽拼接，横向安装时凹口朝上，竖向安装凹口在右侧，板间留缝3mm；收边采用专用580型线条（宽度≥50mm），螺钉固定并预留1.5mm膨胀间隙。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书画社-中式仿古书画桌椅套装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椅子尺寸：600*480*1150mm（长*宽*高）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非遗适配场景：书法教学：桌面倾斜30°时，配合磁吸镇纸固定元代《胆巴碑》临摹范本，笔槽可收纳兼毫毛笔（直径0.6-1.2cm）。国画创作：独板桌面平整度误差≤0.1mm，适配生宣晕染技法，隐藏式笔架可固定勾线笔与皴擦笔。传统工艺体验：藤编坐垫透气性达GB/T 26706-2011标准，学生长时间端坐不易疲劳，适配扎染、活字印刷等跨学科课程。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材质与环保性：木材选用南美胡桃木，木质坚硬密实，密度达0.83g/cm</w:t>
            </w:r>
            <w:r>
              <w:rPr>
                <w:rFonts w:hint="eastAsia" w:ascii="宋体" w:hAnsi="宋体" w:eastAsia="宋体" w:cs="宋体"/>
                <w:color w:val="auto"/>
                <w:sz w:val="20"/>
                <w:szCs w:val="20"/>
                <w:u w:val="none"/>
                <w:lang w:val="en-US" w:eastAsia="zh-CN" w:bidi="ar"/>
              </w:rPr>
              <w:t xml:space="preserve">³，抗变形系数优于普通实木。木材经72小时恒温烘干处理（含水率稳定在8%-10%），确保长期使用不开裂。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表面处理：环保水性漆（通过GB 18581-2009十环认证），甲醛释放量≤0.08mg/m³，苯系物含量未检出，符合欧盟REACH标准。漆面采用三底一面工艺，耐磨系数≥4000转（ASTM D4060测试）。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结构与工艺：​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榫卯设计：全榫卯结构采用明清古法“燕尾榫”与“直角榫”结合，桌面框架由5根50mm厚整木直拼（顺纹拼接），榫头宽度与孔径误差≤0.1mm，承重≥200kg无变形。椅背弧形仿古设计参考《鲁班经》中式圈椅比例，椅腿为双柱马蹄足，配藤编靠背（透气孔密度20目/c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桌面工艺：50mm厚独板桌面经碳化处理（表面温度200℃持续2小时），提升防潮性能，边缘倒角R=5mm圆弧防磕碰，预装磁吸式水平仪辅助调平。</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功能与适配性：​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倾斜调节系统：桌面通过液压阻尼铰链实现0-30°无极调节（调节行程120mm），内置防滑硅胶垫（邵氏硬度50HA）固定宣纸/画板，倾斜时自动锁止，稳定性误差≤1°。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收纳扩展：桌侧隐藏式笔架采用磁吸+卡扣双保险设计，容量可容纳20支毛笔+3枚镇纸（镇纸槽内置硅胶防滑层）；椅面藤编坐垫可拆卸清洗，内部填充高密度记忆棉（密度55kg/m³），回弹率≥90%。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安全与人体工学：​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防滑脚垫：底部配置四组蜂窝状硅胶脚垫（直径50mm×厚度15mm），静摩擦系数≥0.8，防滑等级通过ISO 13356测试，承重≥150kg无位移。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安全认证：符合GB 28007-2011儿童家具标准，所有边角采用R≥3mm弧形倒角，抽屉导轨安装防夹手软胶（邵氏硬度30HA）。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文化适配与附加功能：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仿古细节：桌面边缘复刻明代画案“拦水线”工艺（凸棱高度1.5mm），预置笔洗凹槽（直径80mm×深度15mm）；椅背镶嵌仿古铜质云纹饰片（厚度1mm，黄铜镀24K金）。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书画社-桌面画架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1、信息参数：金属支架，高度调节范围40-80cm，承重5kg，配防滑橡胶垫。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51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书画社-学生级素描套装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1、信息参数：含铅笔（H-6B）、橡皮（可塑/硬橡皮）、卷笔刀、美工刀，配收纳盒。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0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书画社-书画专用护眼灯</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1、信息参数：色温4000K，照度500lx，无频闪，适配书画桌高度（可调支架）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书画社-毛笔套装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1、信息参数：毛笔配置：兼毫毛笔：笔尖直径0.5cm/0.7cm，笔杆为紫檀木+防滑漆，长度24.5cm，锋长3.5cm，适配颜体/欧体楷书。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羊毫提斗笔：笔尖直径1.2cm，笔杆长度28cm，用于大字创作。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书画纸100张（39cm×25cm，米字格/回宫格双面印刷）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书画墨1瓶（100ml，双旋口设计，防干涸）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毛毡1块（50cm×40cm，双面格子，密度200线/英寸）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笔架1个（树脂材质，高度8cm）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功能特性</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毛笔笔锋采用七狼三羊混合工艺，聚锋性能提升30%。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水写布吸墨速度≤5秒（ASTM D4489测试）。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书画社-宣纸与毛边纸套装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宣纸组合：檀皮熟宣：四尺整刀（69×138cm）10刀（100张/刀），克重140g/㎡，耐皴擦，适合工笔画。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生宣：四尺三开（69×46cm）50张，克重100g/㎡，柔韧性通过GB/T 17748-2016测试。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毛边纸组合：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手工毛边：四尺对开（138×34cm）30张，手工竹浆，厚度0.15mm。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附加功能：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宣纸含防伪镭射标（可验证真伪），毛边纸预涂淀粉胶（防潮等级IP54）。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书画社-墨汁与砚台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（进阶级）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1、信息参数：砚台规格：材质：歙石（含40%绿泥石），石质硬度4.5-5.5（莫氏硬度），尺寸：五寸（11.7×3cm）手工磨制，砚堂平整度误差≤0.1mm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功能设计：前池蓄墨/后池洗笔双区设计，容量比1:1.5。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砚背预留印章刻制区（10×10cm），可实践篆刻工艺。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原料：松烟+胶（胶质比例1:8），松烟含量≥60%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重量：1两（37.5g），尺寸100×24×10mm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燃烧特性：燃烧速率0.8cm/min（20cm高度自由燃烧）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墨锭1锭 + 歙砚1方、砚台专用墨床（檀木材质）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书画社-书画基础配置包套装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包含：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镇尺：石质或竹木材质，尺寸24×4cm，用于压平纸张。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书画毡：毛毡尺寸450×600mm，厚度2mm，用于铺垫书写表面。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洗笔筒：塑料或陶瓷材质，容量500ml。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笔帘：竹制笔帘（长度32cm），用于收纳毛笔。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工具箱</w:t>
            </w:r>
            <w:r>
              <w:rPr>
                <w:rFonts w:hint="eastAsia" w:ascii="宋体" w:hAnsi="宋体" w:eastAsia="宋体" w:cs="宋体"/>
                <w:color w:val="auto"/>
                <w:sz w:val="20"/>
                <w:szCs w:val="20"/>
                <w:u w:val="none"/>
                <w:lang w:val="en-US" w:eastAsia="zh-CN" w:bidi="ar"/>
              </w:rPr>
              <w:t xml:space="preserve">​：ABS材质，分格存放刻刀、剪刀等工具。</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裁纸刀：美工刀（刀片可替换，刀刃长度10cm）。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书画社-交互式书画桌系统（含书画椅）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一、整机要求：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1.一体化体验桌 1.外部结构：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桌子尺寸：1780*800*750mm（长*宽*高）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官帽椅尺寸：600*480*1150mm（长*宽*高）木材选用南美胡桃木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外部结构：整体可拆卸，无外露螺丝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2.红外感应屏：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触摸精度  &lt;1.2mm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触摸灵敏度 5-8ms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线性误差 1mm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钢化玻璃 厚2至3mm 透光率&gt;96%</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防水等级 IPX6 边框做防水处理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静电防护等级 按照EN6100-4-2 2008:4级 接触式放电8KV 空气式放电15kv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安全性：直径为63mm钢球从1米高度自由落下玻璃不破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液晶屏尺寸：43"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LCD面板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面板类型：a-Si TFT-LCD , 液晶模组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分辨率：1920(RGB)×1080,FHD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 450 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触摸功能：红外触摸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5.工作环境：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电气参数 ：输入电压：AC 220V，电气安全规范：GB 19517-2009。网络：双频wifi或有线连接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置水砚台 （规格：直径147mm 高度39mm（不含盖））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二、系统资源：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1.支持普通毛笔在电子屏上书写，如同在真实的宣纸上一样体验传统书法，在传统书法桌基础上进行提炼概括</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2.书法屏尺寸≥43寸分辨率不小于：1920×1080P,显示区域不小于940×529 mm，支持电容触控功能；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3.书法桌：橡木材质，结实牢固；漆面平整光亮；尺寸：长不小于1600×宽不小于800×高不小于800mm,一桌一椅；标准尺寸：160*80*75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4.软件功能模块；自由书法、经典临摹、水墨画、书法 游戏、优秀作品集、书法指导、碑帖欣赏等内容。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5.支持毛笔蘸水在电子书法屏幕上书写，具有大、中、细笔的切换功能；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二、软件资源部分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原碑创作系统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自由书法：在该模块中，用户可以选择背景，在书写区域使用毛笔进行书法创作，并体验分享功能、扫描二维码可以把自己的做作品保存到手机上或者分享给朋友。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点击“撤回”，可以撤销上一次笔迹；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点击“清空”，可以清空已书写的所有内容；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点击“印章”，可以添加自己的专属印章；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点击“分享”，可以扫描二维码可以保存到手机分享给朋友；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点击“保存”，可以将作品保存到本地。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经典临摹：用户可以在经典临摹模块对名家作品进行临摹，可以调节笔锋的粗细，还可以体验分享功能、扫描二维码可以把自己的做作品保存到手机上或者分享给朋友。经典临摹包含：弟子规、三字经、诗经等书写内容，也可以添加自己喜欢的话语进行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3.水墨画：水墨画是绘画的一种形式，更多时候，水墨画被视为中国传统绘画，也就是国画的代表。基本的水墨画，仅有水与墨， 黑与白色，但进阶的水墨画，也有工笔花鸟画，色彩缤纷。 後者有时也称为彩墨画。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4.书法游戏：书法游戏是一款益智小游戏，是用一幅画或几个字的组合来猜一个成语。该游戏巧妙地使用图与字的结合，能够让玩家在休闲娱乐的同时能够了解到成语的趣味。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5.优秀作品集：优秀作品集是，把我们写好的作品点击保存按钮，保存在作品集中，也可以查看他人保存的作品。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6.书法指导：书法指导是一种通过视频形式向人们展示如何练习和掌握书法技巧的教育资源。共 51 节书法指导视频，这些视频通 常由经验丰富的书法家或专业的书法指导人员制作，旨在帮助学习者了解书法基本技巧、学习书法规范和提升书法水平。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7.碑帖鉴赏：碑帖鉴赏是指对古代石刻、石碑或书法家的书法作品进行欣赏、研究、评价和推崇的学术活动。共有 13 套碑帖共 112 张，如苏轼、欧阳修、唐演等著名书法家的作品。碑帖作为 中国书法的重要组成部分，具有深厚的历史文化底蕴，其形式美、内容美、语言美、艺术美相统一，是中国传统文化的重要载体。碑帖鉴赏不仅是一种文化传承和历史考古，更是一种审美体验和人文素养的提高。通过碑帖鉴赏，人们可以了解和感受到书法作品的独特魅力和文化内涵，进而加深对中国传统文化的认识和理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三、书法教学授课软件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系统支持本地部署和云端部署，内置《化度寺碑》、《九成宫醴泉铭》、《雁塔圣教序》、《大字阴符经》、《多宝塔碑》、《颜勤礼碑》、《玄秘塔碑》、《神策军碑》、《三门记》、《妙严寺记》等楷书教学碑帖、《兰亭序》、《祭侄文稿》、《黄州寒食帖》、《洛神赋》等行书碑帖、《乙瑛碑》、《礼器碑》、《史晨碑》、《曹全碑》等隶书碑帖以及纲要推荐的30个赏析碑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按照《中小学书法教育指导纲要》要求配备相应的教学碑帖及碑帖单字；每个单字具有三个角度拍摄的名家书写示范视频；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可以同时播放三个角度的名家书写师范视频，点击任意一个视频，可以将其调到主视频放大显示，同时显示原帖单字作为对照；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★教学用碑帖字提供四种教学样式：原帖、单字、单勾、双勾，并可一键切换；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教学用碑帖单字具备多种笔画工具，可在原帖单字上一键进行单勾提取、双勾提取，提取的内容在当前教学页面直接呈现；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碑帖单字支持笔顺教学，包括笔顺拆解示意图以及笔顺教学动画演示；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教学用的碑帖单字可关联所在碑帖，通过单字能够直接调出所在碑帖：通过碑帖可调取内容中的任一个单字，进入单字教学详情页面；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通过书法教学仪，教师可进行教学直播，学生端可看到教师端的书写示范画面；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★具备趣味知识模块：包含书法故事、字的演变、书法长廊等文化知识；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具备基础教学模块：包含笔墨纸砚工具的介绍、装裱知识等视频内容；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具备国学知识模块：包含三字经、百家姓、千字文、古诗词等内容；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12）★具备资源扩展模块：系统具备开放端口，教师可将系统外部图片、PDF、视频等类型资源上传至系统作为补充教学；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具备趣味游戏模块：拼字游戏分易、中、难三等级以匹配不同层次学生，丰富授课内容；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书法教学系统含教师端；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书法教学授课软件教师端适用于Windows；能够自由适应分辨率；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书法教学软件教师端，可以在学校私有云（内网）的任意地点使用，方便学校灵活安排教室。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投标时需提供满足以上参数中第4,9,12条★标功能项的功能性截图进行证明，并且提供书法教学授课软件的软件著作权证书。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四、书法课件资源库软件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软件支持教师通过互联网访问云端资源库进行备课；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可自由添加碑帖及字贴，丰富资源库内容；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可通过单字拼音首字母或偏旁部首搜索系统字库资源；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同一汉字包含不同的字体，且都包含名师示范视频；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每个汉字点击后显示不同碑帖中的碑帖字；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包括推荐碑帖、欣赏碑帖、历代碑帖、我的资源等模块；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包含常见书体教学字库，包含楷书（颜、欧、柳、赵、褚）、行书、隶书；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常用字库包含名师示范视频和动画笔顺演示，视频示范不少于2个角度；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书写示范视频包括同时播放三个角度拍摄的画面，全方位，多角度观察学习书写示范；播放可在视频模式中选择任意画面作为主画面；主画面可以全屏播放，并可一键浮窗浮于任意页面，方便学生在字帖临摹页面边看边练；</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投标时需提供满足参数中该项功能性截图进行证明，并且提供书法课件资源库软件的软件著作权证书。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可以自由控制视频的播放、暂停、快进等操作，视频支持循环播放、全屏播放；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所有碑帖学习界面包括碑帖的分幅导览、分幅放大；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推荐碑帖分幅放大图中，可以点击任意单字打开单字教学界面，进行单字教学；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可以打开“完整碑帖”整帖欣赏，整帖可放大、缩小、拖移浏览；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推荐碑帖及欣赏碑帖提供详细内容释义；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推荐碑帖中，支持查看所有碑帖单字的简体字及拼音；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 包含秦汉印章模块，展示了各类官印私印的外观、印面以及印稿，可作为欣赏类教学资源；系统内支持印稿设计，支持调整印稿大小及角度，支持印稿水平翻转、垂直翻转，亦可通过反色按钮设置白文或者朱文；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 支持碑帖对临功能，进入任意碑帖后，点击“放大”或“完整碑帖”按钮进入对临页面，通过“临”、“摹”开关进入所需功能页，临帖页面一分为二，一侧为碑帖图，支持任意缩放与位置移动，一侧为空白区域，用于临写；摹帖页面为大幅碑帖，支持任意缩放及位置移动，用于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 包含30个教育部推荐的欣赏碑帖作品；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 老师可自主添加外部资源，包括图片、视频、PDF三种形式的资源；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 碑帖支持通过朝代、字体、名称等条件多维度检索；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 包含人教版、湘教版等11个出版社配套电子PPT课件，课件可以与碑帖、单字、字帖等模块进行关联，方便综合教学；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 标准课本课件可收藏并转存到教师工作室“我的课件”栏目，可进行个性化编辑；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每个课件含关联示范视频，关联碑帖，关联书法知识。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五、书法教学备课软件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每个教师可以使用专有账号登录书法教学备课软件，并享有独立工作空间；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备课资源包含《中小学书法教育指导纲要》规定的30个赏析碑帖、拓展碑帖、标准课本课件、个性化课件、字帖等多类资源；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标准课本课件包含11个出版社不同年级不同课时的电子化课件；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列表形式显示各个年级的课程目录，课程目录下对应课时目录及课程内容；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标准课本课件支持教师收藏，收藏后可转存至工作室“我的课件”中，方便教师授课；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★标准课本课件支持教师再次编辑，可添加系统内单字、字帖、碑帖、书法知识等资源作课件拓展教学；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教师可在局域网内任意地点进行备课，既可使用系统标准课本课件备课，也可以自主上传教师自编课件至系统内，教师自编课件可关联系统单字、字帖、碑帖、书法知识等内容；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支持离线备课，教师通过“备课导出”按钮将教室账号内未完成备课的课件下载至本地，可带离教室在其他任意地点登录书法账号后完成备课，再通过“备课导入”按钮将编辑好的课件导入教室账号进行教学使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上传至系统的教师自编课件可根据课件名称及上传时间进行查找，系统会自动记录该课件最近一次的编辑时间，方便教师溯源；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上传至系统的教师自编课件支持设置为公开课件，可与同一局域网内的其他教师账号共享该公开课件内容；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系统单字详情页包含笔顺拆解、单字动画演示、视频示范、关联碑帖等内容，方便教学；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系统碑帖单字可关联到对应的碑帖页，点击碑帖页某一单字亦可跳转至该单字的教学详情页，方便教师进行章法教学；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可以通过关联的字进行同字比对教学，一键调出相同的字在不同碑帖中的所有写法；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上课过程中老师可以通过关联的“字”显示“字”的笔顺，进行笔顺教学；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★具备全局搜索功能，在任意界面一键调出综合搜索界面，可搜索单字教学、碑帖、课件等，系统会保留近五次搜索记录。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★投标时需提供满足以上参数中第6，15条★标功能项的功能性截图进行证明，并提供书法教学备课软件的软件著作权证书。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六、字帖编辑生成系统软件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 内置与各出版社不同年级教学内容相匹配的字帖课件，支持教师同步字帖至学生端；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 可编辑创建字帖；所创建字帖支持自定义命名，可保存至云系统中，可直接下发至学生端或者打印成纸质字帖供学生临摹；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 编辑字帖时，可通过单字搜索、多字搜索、或字体及书体等多维度分类进行筛选汉字；搜索任一个单字时，可以看到所有相同字资源；通过拖动方式将所选取单字导入字帖的编辑格；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 可以设置编辑页的字格排列，可以自定义行和列的数量，调整版式；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可以设置字格样式，包含米字格、田字格、回米格、九宫格、口字格等不同模式；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 可以对字格颜色进行设置，例如淡黄、黑色、白色、灰色等；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 支持调整字格内单字的位置、大小及角度；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 编辑页内共有原碑帖、单字、单勾、双勾四种模式可选，既可单独设定某一单字的模式，也可统一设置整个字帖单字的模式；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 单勾模式下，每个笔划均显示走笔方向；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 字帖单字均可查看动画示范，既可连续演示完整笔画，也可跳转至单字详情页播放该单字某一笔画的动画示范，字帖单字可通过视频示范浮窗功能边看边练；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 字帖中，可以同时显示所有字的动画笔顺示例，可以单独显示任一单字的动画笔顺示意；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  每个单字均可跳转至关联碑帖，并可查看碑帖图像、作者、碑帖出处、碑帖介绍等信息。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字帖支持调整字帖内单字、字格边框及背景的颜色，即可选择推荐颜色配置，也可自定义颜色；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 在新建字帖功能中，可以使用“一键生帖”功能通过选择某个碑帖一键生成全部碑帖的描绘练习字帖，并保存为字帖课件；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 在新建字帖功能中，通过一键文本生帖功能，可将任何复制文字粘贴进内容窗口，系统自主识别文字并按字体要求生成对应的楷书、隶书、篆书或者行书字帖。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书画社-底部轻质饰面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急性吸入毒性试验，试验结果对ICR小鼠的急性吸入LC50＞2000mg/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PVC地板焊接强度≥240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r>
      <w:tr>
        <w:trPr>
          <w:jc w:val="center"/>
          <w:trHeight w:val="21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党校/团室/志愿者社团-会议桌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1、信息参数：会议桌规格2000×1000×760mm，基材采用E0级环保中密度纤维板（甲醛释放量≤0.05mg/m</w:t>
            </w:r>
            <w:r>
              <w:rPr>
                <w:rFonts w:hint="eastAsia" w:ascii="宋体" w:hAnsi="宋体" w:eastAsia="宋体" w:cs="宋体"/>
                <w:color w:val="auto"/>
                <w:sz w:val="20"/>
                <w:szCs w:val="20"/>
                <w:u w:val="none"/>
                <w:lang w:val="en-US" w:eastAsia="zh-CN" w:bidi="ar"/>
              </w:rPr>
              <w:t xml:space="preserve">³），贴0.6mm厚AAA级实木皮，纹理一致无瑕疵；台面经五底三面十二道环保水性漆工艺（硬度≥2H），封边采用同色实木高温热熔胶全自动封边，接缝≤1.5mm；内置钢架龙骨支撑，桌腿为40×40mm方管静电喷涂，承重≥300kg。</w:t>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投标文件中提供具有CMA标识的完整的会议桌检测报告</w:t>
            </w:r>
            <w:r>
              <w:rPr>
                <w:rFonts w:hint="eastAsia" w:ascii="宋体" w:hAnsi="宋体" w:eastAsia="宋体" w:cs="宋体"/>
                <w:color w:val="auto"/>
                <w:sz w:val="20"/>
                <w:szCs w:val="20"/>
                <w:u w:val="none"/>
                <w:lang w:val="en-US" w:eastAsia="zh-CN" w:bidi="ar"/>
              </w:rPr>
              <w:t xml:space="preserve">，抽样基数≥90，检测项目：桌类主要尺寸、产品外形尺寸偏差，底脚平稳性，人造板外观，木工要求，漆膜外观要求、桌类强度和耐久性测试、桌类稳定性符合要求，甲醛释放量≤0.05mg/m³，总挥发性有机化合物≤0.3mg/m³，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1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党校/团室/志愿者社团-会议椅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会议椅规格530×550×750mm，框架为橡胶木实木（含水率≤12%），坐垫采用高密度PU发泡海绵（密度≥45kg/m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110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党校/团室/志愿者社团-置物架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1.规格1200×1000×450mm，基材:采用优质橡木制作，经过烘干，防腐，防虫处理，含水率≤10%-12%，拥有结实耐用不易变形的特点。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2.油漆：采用优质环保亚光聚酯环保漆，表面光滑柔和，无颗粒，无气泡，无渣点。 </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1、信息参数：定制异形灯箱16W/㎡，光通量：≥3200lm，色温：4000K（自然光色）。显色指数：Ra≥92，防护等级：IP20。特性：低压24</w:t>
            </w:r>
            <w:r>
              <w:rPr>
                <w:rFonts w:hint="eastAsia" w:ascii="宋体" w:hAnsi="宋体" w:eastAsia="宋体" w:cs="宋体"/>
                <w:i w:val="0"/>
                <w:iCs w:val="0"/>
                <w:color w:val="auto"/>
                <w:sz w:val="20"/>
                <w:szCs w:val="20"/>
                <w:u w:val="none"/>
                <w:lang w:val="en-US" w:eastAsia="zh-CN" w:bidi="ar"/>
              </w:rPr>
              <w:t xml:space="preserve">V供电，铝合金散热背板。嵌入式无边框COB射灯模块，7W/10W/14W，光效：≥110lm/W，色温：3000K-6500K（±50K），显色指数：Ra≥95（R9&gt;90），光束角：24°/36°/60°，防护等级：IP44。安装方式：吸顶式。特性：深杯防眩结构。定制超薄嵌入式光源体，8W/㎡，光通量：≥3200lm，色温：4000K（自然光色）。显色指数：Ra≥92，防护等级：IP20。特性：低压24V供电，铝合金散热背板。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志愿者元素艺术氛围装饰。                                                                                                  2、动感照明系统驱动电源需为恒流驱动，电源有外壳并可靠固定。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3、功率＜45W，色温4300K-5300K，显色指数Ra＞90、R9＞50，满足6000小时光通维持率＞92%，以保证产品质量和灯具使用寿命。      4、动感照明护眼灯至少依据《GB/T 31275-2020》、《GB/T 17743-2021》标准经灯具电源端传导骚扰电压（或电源接口骚扰电压）、辐射骚扰、感应电流密度测试，检测结果皆为合格（或通过或符合或判定为P）。</w:t>
            </w:r>
            <w:r>
              <w:rPr>
                <w:rFonts w:hint="eastAsia" w:ascii="宋体" w:hAnsi="宋体" w:eastAsia="宋体" w:cs="宋体"/>
                <w:color w:val="auto"/>
                <w:sz w:val="20"/>
                <w:szCs w:val="20"/>
                <w:u w:val="none"/>
                <w:lang w:val="en-US" w:eastAsia="zh-CN" w:bidi="ar"/>
              </w:rPr>
              <w:br/>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投标文件中需提供具有CMA标识的完整的护眼灯检测报告</w:t>
            </w:r>
            <w:r>
              <w:rPr>
                <w:rFonts w:hint="eastAsia" w:ascii="宋体" w:hAnsi="宋体" w:eastAsia="宋体" w:cs="宋体"/>
                <w:color w:val="auto"/>
                <w:sz w:val="20"/>
                <w:szCs w:val="20"/>
                <w:u w:val="none"/>
                <w:lang w:val="en-US" w:eastAsia="zh-CN" w:bidi="ar"/>
              </w:rPr>
              <w:t xml:space="preserve">，测试内容需完全符合2-4项中参数要求，不得缺项、漏项，否则视为负偏离。 </w:t>
            </w:r>
            <w:r>
              <w:rPr>
                <w:rFonts w:hint="eastAsia" w:ascii="宋体" w:hAnsi="宋体" w:eastAsia="宋体" w:cs="宋体"/>
                <w:color w:val="auto"/>
                <w:sz w:val="20"/>
                <w:szCs w:val="20"/>
                <w:u w:val="none"/>
                <w:lang w:val="en-US" w:eastAsia="zh-CN" w:bidi="ar"/>
              </w:rPr>
              <w:t xml:space="preserve">                                                                           5、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均满足光通量的实测值与初始值的偏差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动感照明护眼灯经严酷自然环境实地测试，分别在极热环境：大气压力≤100kPa，平均湿度≤50%RH、极值空气温度≥37℃及相对温差≥28℃与在极寒环境：大气压力≥100kPa，平均湿度≥50%RH、极值空气温度≤-20℃及相对温差≥34℃均至少持续运行300小时后，至少依据《GB/T36979-2018》标准均满足空间颜色非均匀性△u’v’≤0.007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LED护眼灯经严酷自然环境实地测试，分别在极热环境：大气压力≤100kPa，平均湿度≤50%RH、极值空气温度≥37℃及相对温差≥28℃与在极寒环境：大气压力≥100kPa，平均湿度≥50%RH、极值空气温度≤-20℃及相对温差≥34℃均至少持续运行300小时后，至少依据《GB/T9468-2008》标准满足光束角C0-C180及C90-C270的实测值与初始值偏差均不超过±10%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LED护眼灯经严酷自然环境实地测试，分别在极热环境：大气压力≤100kPa，平均湿度≤50%RH、极值空气温度≥37℃及相对温差≥28℃与在极寒环境：大气压力≥100kPa，平均湿度≥50%RH、极值空气温度≤-20℃及相对温差≥34℃均至少持续运行300小时后，至少依据《GB/T 18595-2014》标准均满足浪涌性能达到C或以上等级。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9、LED护眼灯经严酷自然环境实地测试，分别在极热环境：大气压力≤100kPa，平均湿度≤50%RH、极值空气温度≥37℃及相对温差≥28℃与在极寒环境：大气压力≥100kPa，平均湿度≥50%RH、极值空气温度≤-20℃及相对温差≥34℃均至少持续运行300小时后，至少依据《GB/T6882-2016》标准均满足噪声≤25dB（A）。</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投标文件中参数中5-9须提供由国家行政管理部门认定的检测机构出具的认证证</w:t>
            </w:r>
            <w:r>
              <w:rPr>
                <w:rFonts w:hint="eastAsia" w:ascii="宋体" w:hAnsi="宋体" w:eastAsia="宋体" w:cs="宋体"/>
                <w:color w:val="auto"/>
                <w:sz w:val="20"/>
                <w:szCs w:val="20"/>
                <w:u w:val="none"/>
                <w:lang w:val="en-US" w:eastAsia="zh-CN" w:bidi="ar"/>
              </w:rPr>
              <w:t xml:space="preserve">书及全国认证认可信息公共服务平台证书状态为“有效”查询证明复印件（证书与查询证明文件上均须同时体现产品型号及认证标准；若有要求严酷自然环境实地测试条件的，证书上须体现“实地验证检测方式”）。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10、包含货物生产、运输、安装、调试。                                                                                            11、所有制作参照效果图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5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1、信息参数：6000*3000mm，主体结构组件采用18mm实木多层基材，表面采用环保油漆，喷漆时需保持无尘空间，每道工序需充分干燥(通常24小时，含水率≤8%），（甲醛释放量≤0.025mg/m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高分子纳米涂层复合艺术雕刻部件装饰。定制艺术浅浮雕。定制异形艺术雕刻部件。水性面漆相应技术要求，检测依据G</w:t>
            </w:r>
            <w:r>
              <w:rPr>
                <w:rFonts w:hint="eastAsia" w:ascii="宋体" w:hAnsi="宋体" w:eastAsia="宋体" w:cs="宋体"/>
                <w:color w:val="auto"/>
                <w:sz w:val="20"/>
                <w:szCs w:val="20"/>
                <w:u w:val="none"/>
                <w:lang w:val="en-US" w:eastAsia="zh-CN" w:bidi="ar"/>
              </w:rPr>
              <w:t xml:space="preserve">B/T23991-2009《涂料中可溶性有害元素含量的测定》、GB/T23993-2009《水性涂料中甲醛含量的测定 乙酰丙酮分光光度法》、HJ2537-2014《环境标志产品技术要求水性涂料》、GB/T23999-2009《室内装饰装修用水性木器涂料》，VOC 含量/(g/L),甲醛含量/(mg/kg),总铅(Pb)含量/(mgkg)(限色漆、腻子和醇酸清漆),可溶性重金属含量/(mg/kg)(限色漆、腻子和醇酸清漆)中镉(Cd)含量,铬(Cr)含量,汞(Hg)含量，乙二醇醚及醚酯总和含量/(mg/kg)</w:t>
            </w:r>
            <w:r>
              <w:rPr>
                <w:rFonts w:hint="eastAsia" w:ascii="宋体" w:hAnsi="宋体" w:eastAsia="宋体" w:cs="宋体"/>
                <w:color w:val="auto"/>
                <w:sz w:val="20"/>
                <w:szCs w:val="20"/>
                <w:u w:val="none"/>
                <w:lang w:val="en-US" w:eastAsia="zh-CN" w:bidi="ar"/>
              </w:rPr>
              <w:t xml:space="preserve">，苯系物总和含量/(mgkg)[限苯、甲苯、二甲苯(含乙苯)]，烷基酚聚氧乙烯醚总和含量/(mg/kg)，挥发性有机化合物(VoC)/(g/L),乙二醇醚及其酯类的总量(乙二醇甲醚、乙二醇甲醚醋酸酯、乙二醇乙醚、乙二醇乙醚醋酸酯、二乙二醇丁醚醋酸酯)/(mg/kg),游离甲醛/(mg/kg),苯、甲苯、二甲苯、乙苯的总量/(mg/kg),可溶性重金属含量/(mg/kg)中可溶性铅(mg/kg)，可溶性镉(mg/kg)，可溶性铬(mg/kg),可溶性汞(mg/kg),卤代烃(以二氯甲烷计) 检测结果均未检出。</w:t>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投标文件中提供具有CMA标识的完整的水性面漆检测报告</w:t>
            </w:r>
            <w:r>
              <w:rPr>
                <w:rFonts w:hint="eastAsia" w:ascii="宋体" w:hAnsi="宋体" w:eastAsia="宋体" w:cs="宋体"/>
                <w:color w:val="auto"/>
                <w:sz w:val="20"/>
                <w:szCs w:val="20"/>
                <w:u w:val="none"/>
                <w:lang w:val="en-US" w:eastAsia="zh-CN" w:bidi="ar"/>
              </w:rPr>
              <w:t xml:space="preserve">，测试内容需完全符合参数要求，不得缺项、漏项，否则视为负偏离。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1、信息参数：2600*1200mm，主体结构组件采用18mm实木多层基材，表面采用环保油漆，喷漆时需保持无尘空间，每道工序需充分干燥(通常24小时，含水率≤8%），（甲醛释放量≤0.025mg/m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w:t>
            </w:r>
            <w:r>
              <w:rPr>
                <w:rFonts w:hint="eastAsia" w:ascii="宋体" w:hAnsi="宋体" w:eastAsia="宋体" w:cs="宋体"/>
                <w:color w:val="auto"/>
                <w:sz w:val="20"/>
                <w:szCs w:val="20"/>
                <w:u w:val="none"/>
                <w:lang w:val="en-US" w:eastAsia="zh-CN" w:bidi="ar"/>
              </w:rPr>
              <w:t xml:space="preserve">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高分子纳米涂层复合艺术雕刻部件装饰。定制艺术浅浮雕装饰。定制异形艺术雕刻部件。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党校/团室/志愿者社团-木质志愿者文化陈列区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1、信息参数：2600*3000mm，主体结构组件采用18mm实木多层基材，表面采用高分子装饰层（厚度≥3mm，邵氏硬度60±5）。静态承重≥200kg/m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高分子纳米涂层复合艺术雕刻部件装饰。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党校/团室/志愿者社团-遮光帘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94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i w:val="0"/>
                <w:iCs w:val="0"/>
                <w:color w:val="auto"/>
                <w:sz w:val="20"/>
                <w:szCs w:val="20"/>
                <w:u w:val="none"/>
                <w:lang w:val="en-US" w:eastAsia="zh-CN" w:bidi="ar"/>
              </w:rPr>
              <w:t xml:space="preserve">石膏板相关技术要求：依据GB/T 9775-2008，检测内容中外观质量要求纸面石膏板板面平整，不应有影响使用的</w:t>
            </w:r>
            <w:r>
              <w:rPr>
                <w:rFonts w:hint="eastAsia" w:ascii="宋体" w:hAnsi="宋体" w:eastAsia="宋体" w:cs="宋体"/>
                <w:i w:val="0"/>
                <w:iCs w:val="0"/>
                <w:color w:val="auto"/>
                <w:sz w:val="20"/>
                <w:szCs w:val="20"/>
                <w:u w:val="none"/>
                <w:lang w:val="en-US" w:eastAsia="zh-CN" w:bidi="ar"/>
              </w:rPr>
              <w:t xml:space="preserve">波纹、沟槽、亏料、漏料和划伤、破损、污痕等缺陷，尺寸偏差中长度偏差-6到0mm,宽度偏差-5到0mm,厚度偏差±0.5mm,对角线长度差≤5，楔形棱边断面尺寸：楔形棱边宽度30-80mm，楔形棱边深度0.6-1.9mm，面密度≤9.5kg/㎡，断裂荷载纵向平均值≥400N，最小值≥360N,横向平均值≥160N，最小值≥140N，硬度中端头硬度≥70N，棱边硬度≥70N，抗冲击性经冲击后，板材背面应无径向裂纹，护面纸与芯材粘结性中护面纸与芯材应不剥离，放射性核素限量中内照射指数IRa≤1.0，Ir≤1.3。</w:t>
            </w:r>
            <w:r>
              <w:rPr>
                <w:rFonts w:hint="eastAsia" w:ascii="宋体" w:hAnsi="宋体" w:eastAsia="宋体" w:cs="宋体"/>
                <w:b/>
                <w:bCs/>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t xml:space="preserve">投标文件中提供具有CMA标识的完整的石膏板检测报告</w:t>
            </w:r>
            <w:r>
              <w:rPr>
                <w:rFonts w:hint="eastAsia" w:ascii="宋体" w:hAnsi="宋体" w:eastAsia="宋体" w:cs="宋体"/>
                <w:i w:val="0"/>
                <w:iCs w:val="0"/>
                <w:color w:val="auto"/>
                <w:sz w:val="20"/>
                <w:szCs w:val="20"/>
                <w:u w:val="none"/>
                <w:lang w:val="en-US" w:eastAsia="zh-CN" w:bidi="ar"/>
              </w:rPr>
              <w:t xml:space="preserve">，测试内容需完全符合参数要求，不得缺项、漏项，否则视为负偏离。 </w:t>
            </w:r>
            <w:r>
              <w:rPr>
                <w:rFonts w:hint="eastAsia" w:ascii="宋体" w:hAnsi="宋体" w:eastAsia="宋体" w:cs="宋体"/>
                <w:color w:val="auto"/>
                <w:sz w:val="20"/>
                <w:szCs w:val="20"/>
                <w:u w:val="none"/>
                <w:lang w:val="en-US" w:eastAsia="zh-CN" w:bidi="ar"/>
              </w:rPr>
              <w:t xml:space="preserve">                                                                                                                       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古典元素造型光源体灯8W/㎡，光通量：≥3200lm，色温：4000K（自然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定制古典艺术氛围装饰。定制棋艺造型灯饰。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棋社-围棋象棋二合一棋盘套装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展开尺寸：40×40cm（可扩展至45×45cm），折叠厚度3.5cm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棋盘类型：围棋19路/象棋标准/五子棋15×15/跳棋10×10四合一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网格精度：线宽1.5mm±0.1mm，误差率≤0.5%（游标卡尺实测）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磁吸系统：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棋盘材质：ABS+3层钕铁硼强磁体（单点吸附力≥1.2N）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棋子规格：</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围棋：直径32mm，厚度8mm，单颗重量45g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象棋：高度35mm，重量60g（含磁铁）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防误触设计：单点吸附需持续按压0.8秒（防误触等级IP54）</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功能扩展：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内置LED照明灯带（亮度300lux，色温4000K），夜间使用无眩光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可拆卸磁性教鞭笔（笔头直径10mm，吸附棋子承重≥200g）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安全认证</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通过GB 6675国标玩具安全认证，圆角打磨（R角≥5mm）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甲醛释放量≤0.05mg/m³（CMA认证检测报告）</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棋社-智能交互磁吸教学棋盘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智能交互：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嵌入式EInk电子屏（2.4英寸，分辨率320×240），实时显示棋局。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支持AI分析（内置围棋13路/象棋标准棋谱库，含1000+经典对局）。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蓝牙5.0连接手机APP，支持棋谱导出与在线对战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物理结构：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棋盘：6061航空铝材+磁吸导槽（厚度2mm，承重≥5kg）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棋子：锌合金压铸（直径40mm，高度10mm），磁极嵌入深度3mm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预装《围棋入门36计》《象棋杀法大全》教学模块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支持AR棋子投影（需另购投影仪），演示“征子”“牵制”等战术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套装内容</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智能棋盘1台 + 磁吸棋子套装（围棋+象棋） + 电源适配器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防摔保护套（TPU材质） + 专用清洁布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07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棋社-电子棋钟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1、信息参数：支持围棋/象棋/国际象棋计时，倒计时范围1分钟-2小时，带语音提示功能，可关机记忆。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​适用场景​：比赛计时、日常训练。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w:t>
            </w:r>
            <w:r>
              <w:rPr>
                <w:rFonts w:hint="eastAsia" w:ascii="宋体" w:hAnsi="宋体" w:eastAsia="宋体" w:cs="宋体"/>
                <w:color w:val="auto"/>
                <w:sz w:val="20"/>
                <w:szCs w:val="20"/>
                <w:u w:val="none"/>
                <w:lang w:val="en-US" w:eastAsia="zh-CN" w:bidi="ar"/>
              </w:rPr>
              <w:t xml:space="preserve">​棋盘清洁套装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1、信息参数：含微纤维布、竹制刮片，用于清除棋盘线磨损残留。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棋社-智能对弈系统套装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一、硬件部分：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1.交互式数字棋艺台 一体化设计，支持人机对弈，人与人对下功能；支持中国象棋，围棋，五子棋，国际象棋、跳棋系统运行安装功能；支持通过IOS、Android手机连接或下载小书家APP平台进行棋艺体验；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2.系统必须支持10点触控功能；软件基于Windows 系统升级开发；电容触控；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3.耐磨：交互式数字棋艺台可抗击无限次自然摩擦无划痕；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4.具有防水、抗压功能。如将一杯水直接倒下棋艺台表面，保证棋艺台没有任何质量影响；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5.软件必须支持手机扫码登录功能；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6.棋艺台与实木棋艺桌完美融合，要求四周达到无缝效果；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7.利用触摸技术，调取棋子进行下棋；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9.棋艺台采用特殊定制屏，分辩率1920*1080P，对比度3000:1；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10.润眼护眼：有效过滤蓝光；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11.棋艺桌规格要求为92*82*60cm  ；一桌两凳规格35*30*40cm (长×宽×高)；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12.显示区域不小于698.4(横)×392.85(竖) mm(H*V),像素RGB垂直条状，可视角度89/89/89/89，对角尺寸不小于32寸；最佳视角：全视角；配置要求Android系统7.0以上，内存不小于4G,硬盘：不小于16G；支持RJ45网口接口。100M/1000M自适应；支持WiFi接口，802.11b/g/n；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13.配置要求Android系统4.0以上，内存不小于2G,硬盘：不小于8G；支持RJ45网口接口。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14.开机直接进入学生自主学习软件界面（需装棋艺系统）。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二．软件部分：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A.围棋棋盘走式系统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1.《围棋棋盘系统》共4大内容；以学习、下棋、训练为主线，分别为双人对奕、专项训练、每日一题、挑战AI等4大功能;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3.★专项训练模块，具有入门、初级、中级、高级、入段、中段、高段等功能；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4.双人对奕具有清空棋盘，点目，覆盘，对局信息，编辑，退出，悔一手，保存等功能；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5.★软件训练模块，具有双人对奕，专项训练，每日一题，挑战AI等功能；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6.棋子分为黑白两种，黑子181个，白子180个，棋盘由19条横线19条竖线组成；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7.围棋启蒙模块：具有提子训练、气、逃子、禁入点、虎口、打却规则、简单联络、简单分断、规则与礼仪等；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8.围棋初级模块具有：吃子与对杀、吃子综合（1）、吃子综合（2）、吃子综合（3）、吃子综合（4）、吃子综合（5）、大眼死活综合。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9.★练习模块：具有人机对奕、启蒙闯关练习、吃子、棋形、布局、死活、官子、定式、基础理论、综合练习等功能。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10.围棋中级模块具有：征子、接不归、倒扑、龟不出头、紧气的要点、有眼杀瞎。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11.围棋高级模块具有：有眼杀瞎、倒扑、滚打包收、大头鬼、相思断、紧气要点、残子与棋筋等。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★投标文件中需提供满足以上标★项的“围棋棋盘走式系统 ”软件著作权证书和国家行政管理部门认定的检测机构出具的软件测试报告为佐证，报告中需呈现相应的参数功能，不得缺项、漏项，否则视为负偏离。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B.国际象棋系统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1.《国际象棋系统》共6大内容；以学习、下棋、训练为主线，分别为人人对奕、动漫国象、专项训练、在线对奕、实战练习、 国象游戏等6大功能;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2.课程教学软件运用趣味性、互动感强的技术作为训练载体，课程软件与普通的教材相比更注重于思辨与力行。画面精美，表现形象，真正达到易教，易学和易管的效果。在拓展学生兴趣的同时开展教学;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3.动漫国象模块：具有基础知识、国象规则、一步杀王、击双战术、简单战术、两步杀王、高级战术、三步杀王等；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4.专项训练模块，具有吃法、一步杀、捉和将军、突破战术、和棋技术、基本技巧等功能；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5.国象游戏模块：具有认识棋子、棋子记忆、子力价值、比大小、拼图、坐标颜色、坐标位置、铺地砖、骑士战术、骑士坐标、迷宫、国象起源等；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6.实战练习模块：具有小百科、开局百科、残局百科、战术组合、棋种功能分类等；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7.软件模块功能具有包括、布局、吃子、棋形、综合练习、棋子比大小、一歩杀等；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8.练习模块：具有人机对奕、双人对弈、闯关练习等功能。</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0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桌子尺寸规格：1200×600×750mm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棋社-传统中式棋艺椅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规格尺寸：450×450×850mm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22</w:t>
            </w:r>
            <w:r/>
          </w:p>
        </w:tc>
      </w:tr>
      <w:tr>
        <w:trPr>
          <w:jc w:val="center"/>
          <w:trHeight w:val="70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棋社-传统中式观棋椅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规格530×550×750mm，框架为橡胶木实木（含水率≤12%），坐垫采用高密度PU发泡海绵（密度≥45kg/m</w:t>
            </w:r>
            <w:r>
              <w:rPr>
                <w:rFonts w:hint="eastAsia" w:ascii="宋体" w:hAnsi="宋体" w:eastAsia="宋体" w:cs="宋体"/>
                <w:color w:val="auto"/>
                <w:sz w:val="20"/>
                <w:szCs w:val="20"/>
                <w:u w:val="none"/>
                <w:lang w:val="en-US" w:eastAsia="zh-CN" w:bidi="ar"/>
              </w:rPr>
              <w:t xml:space="preserve">³，回弹≥38%），覆面为优质西皮（厚度≥1.5mm，干摩擦牢度≥4级）；扶手高度605mm，椅腿为冷轧钢脚架（表面酸洗磷化防锈），配备气压升降及尼龙静音轮。 材质说明:</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1)橡胶木实木:符合</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《木家具通用技术条件》,含水率要求在8~16％,甲醛释放量≤1.5mg/L</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2)杨木多层板:优质木材,符合GB/T 9846-2015《普通胶合板》,胶合强度≥7MPa,甲醛释放量≤0.08mg/m3,东北落叶松木材,含水量8%- 12%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3)海绵:优质品牌,符合GB/T 10802-2006《通用软质聚醚型聚氨酯泡沫塑料》,优质高密度回弹海绵,座面密度≥25kg/m³,75%压缩永久变形≤8%,泡沫回弹性≥35%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4)喷涂五金:采用AL6063-T5铝合金,压铸成型,表面静电粉末喷涂,符合(GB/T 3325-2017金属家具通用技术条件)中5.5理化性能要求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5)荔枝纹真皮:符合GB/T 16799-2018《家具用皮革》,皮厚度≥0.9㎜,摩擦色牢度≥4级,耐光性≥5级,撕裂力≥85N,涂层粘着牢度≥2.5N/10mm,耐折牢度50000次无裂纹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w:t>
            </w:r>
            <w:r>
              <w:rPr>
                <w:rFonts w:hint="eastAsia" w:ascii="宋体" w:hAnsi="宋体" w:eastAsia="宋体" w:cs="宋体"/>
                <w:color w:val="auto"/>
                <w:sz w:val="20"/>
                <w:szCs w:val="20"/>
                <w:u w:val="none"/>
                <w:lang w:val="en-US" w:eastAsia="zh-CN" w:bidi="ar"/>
              </w:rPr>
              <w:t xml:space="preserve">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w:t>
            </w:r>
            <w:r>
              <w:rPr>
                <w:rFonts w:hint="eastAsia" w:ascii="宋体" w:hAnsi="宋体" w:eastAsia="宋体" w:cs="宋体"/>
                <w:color w:val="auto"/>
                <w:sz w:val="20"/>
                <w:szCs w:val="20"/>
                <w:u w:val="none"/>
                <w:lang w:val="en-US" w:eastAsia="zh-CN" w:bidi="ar"/>
              </w:rPr>
              <w:t xml:space="preserve">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艺术浅浮雕。定制异形艺术雕刻部件。定制成品浮雕纹油画饰面板。定制嵌入式古典储物格。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1、信息参数：4800*2800mm，主体结构组件采用18mm实木多层基材，表面采用环保油漆，喷漆时需保持无尘空间，每道工序需充分干燥(通常24小时，含水率≤8%），（甲醛释放量≤0.025mg/m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³，气候箱法检测），金属复合面板（基材厚度≥0.5mm，表面涂层铅笔硬度≥3H），高分子装饰层（厚度≥3mm，邵氏硬度60±5）。静态承重≥200kg/m²（持续24小时形变率≤0.3%）。抗弯强度≥100MPa（依据GB/T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w:t>
            </w:r>
            <w:r>
              <w:rPr>
                <w:rFonts w:hint="eastAsia" w:ascii="宋体" w:hAnsi="宋体" w:eastAsia="宋体" w:cs="宋体"/>
                <w:color w:val="auto"/>
                <w:sz w:val="20"/>
                <w:szCs w:val="20"/>
                <w:u w:val="none"/>
                <w:lang w:val="en-US" w:eastAsia="zh-CN" w:bidi="ar"/>
              </w:rPr>
              <w:t xml:space="preserve">邵氏硬度：≥60 HA（GB/T 531.1），热压成型：温度180-220℃，压力≥8MPa。照明及电气线路系统;氛围LED灯带，光通量：≥3200lm，色温：4000K（自然光色）。显色指数：Ra≥92，防护等级：IP20。特性：低压24V供电，安装方式：嵌入式。隐蔽式线管系统：PVC线管：Φ20mm（阻燃级），电线规格：BV-2.5mm²（国标），接线盒：86型暗装（防水型），固定卡扣：尼龙材质间距≤800mm。高分子涂层艺术雕刻装饰。定制异形艺术雕刻部件。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1、信息参数：6500*2800mm，主体结构组件采用18mm实木多层基材，表面采用高分子装饰层（厚度≥3mm，邵氏硬度60±5）。静态承重≥200kg/m</w:t>
            </w:r>
            <w:r>
              <w:rPr>
                <w:rFonts w:hint="eastAsia" w:ascii="宋体" w:hAnsi="宋体" w:eastAsia="宋体" w:cs="宋体"/>
                <w:color w:val="auto"/>
                <w:sz w:val="20"/>
                <w:szCs w:val="20"/>
                <w:u w:val="none"/>
                <w:lang w:val="en-US" w:eastAsia="zh-CN" w:bidi="ar"/>
              </w:rPr>
              <w:t xml:space="preserve">²（</w:t>
            </w:r>
            <w:r>
              <w:rPr>
                <w:rFonts w:hint="eastAsia" w:ascii="宋体" w:hAnsi="宋体" w:eastAsia="宋体" w:cs="宋体"/>
                <w:color w:val="auto"/>
                <w:sz w:val="20"/>
                <w:szCs w:val="20"/>
                <w:u w:val="none"/>
                <w:lang w:val="en-US" w:eastAsia="zh-CN" w:bidi="ar"/>
              </w:rPr>
              <w:t xml:space="preserve">持续24小时形变率≤0.3%）。抗弯强度≥100MPa（依据GB/T 17657-2022三点弯曲试验）。剥离强度≥120N/cm（纵向，GB/T 2791-1995标准）。定制生态木展墙选用密度≥0.7g/cm³的材质，防火等级B1级，防潮性能吸水率≤1.5%。通过凹槽拼接，横向安装时凹口朝上，竖向安装凹口在右侧，板间留缝3mm；收边采用专用580型线条（宽度≥50mm），螺钉固定并预留1.5mm膨胀间隙。定制木质古典棋盘储物柜。高分子涂层艺术雕刻装饰。艺术浅浮雕。定制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棋社-古典棋谱造型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1、信息参数：2600*3000mm，框架结构主体采用40×40mm方钢（壁厚≥1.5mm）焊接成型，表面喷涂氟碳漆（三涂两烤工艺，膜厚≥80μm），耐盐雾≥3000小</w:t>
            </w:r>
            <w:r>
              <w:rPr>
                <w:rFonts w:hint="eastAsia" w:ascii="宋体" w:hAnsi="宋体" w:eastAsia="宋体" w:cs="宋体"/>
                <w:i w:val="0"/>
                <w:iCs w:val="0"/>
                <w:color w:val="auto"/>
                <w:sz w:val="20"/>
                <w:szCs w:val="20"/>
                <w:u w:val="none"/>
                <w:lang w:val="en-US" w:eastAsia="zh-CN" w:bidi="ar"/>
              </w:rPr>
              <w:t xml:space="preserve">时。中心部位镶嵌特制层板造型，厚度≥1.5mm，纳米陶瓷涂层处理，，边缘采用激光倒角R3mm。嵌装异形长条桌（桌面采用松木指接板，规格1800×400×30mm，经化学UV底漆+水性哑光面漆处理，两端通过隐藏式304不锈钢法兰（M8内六角螺栓）固定于方钢横梁。定制榫卯棋凳（凳面采用红铁木砧板，直径320mm×厚50mm，凳腿为实木车制螺旋纹立柱，高度450mm）*2。动态承重≥200kg。表面装饰采用仿古铜蚀刻棋谱纹样（化学特调古铜色金属漆）。高分子涂层艺术雕刻装饰。定制异形艺术雕刻部件。环保木质地脚围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6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2、工作电压：DC 24V/1A 电源适配器供电。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4、安装方式：壁挂安装。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5、通信协议：支持无线UHF。</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6、频率响应：主机线路—主机：80Hz～20 kHz；麦克风-主机：100Hz～10kHz。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7、信噪比:（麦克风-主机）：≥83dB；（主机线路-主机）：≥83dB。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8、总谐波失真: ≤0.12%。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10、支持NFC和红外配对。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12、主机设备采用数字音频处理器，无线发射和接收一体式设计。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13、具有USB接口、电源接口与音频接口，音频接口：LINE IN（3.5mm）；LINE IN（凤凰端子3PIN）；LINE OUT（3.5mm）；LINE OUT（凤凰端子3PIN）。</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14、最大可实现35m长距离通信，为保证教室间不相互干扰正常工作距离范围为10～15m，根据使用场景，可直接现场定制化通信距离。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15、支持无线音频输入（UHF&amp;蓝牙），有线音频输入（两路line in、LAN输入）。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16、支持无线音频输出（UHF），有线音频输出（两路line out）。</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17、具有音量调节、高低音效果调节。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18、具有啸叫抑制（AFC）功能开关、线路输入噪声门（Gate）功能开关、线路输入自动衰减（AUTOFADE）功能开关。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19、可通过拨码对UHF的接收和发射频道（频点）进行选择。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20、具有OLED显示屏，可显示当前UFH接收和发射的频率点和蓝牙开启和关闭的状态。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21、具有充电槽功能，支持 麦克风充电功能，即放即充。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22、可以同时连接90个或以上的扩音器。</w:t>
            </w:r>
            <w:r>
              <w:rPr>
                <w:rFonts w:hint="eastAsia" w:ascii="宋体" w:hAnsi="宋体" w:eastAsia="宋体" w:cs="宋体"/>
                <w:b/>
                <w:bCs/>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t xml:space="preserve">投标文件中提供具有CMA标识的完整的无线教学扩声主机检测报告，</w:t>
            </w:r>
            <w:r>
              <w:rPr>
                <w:rFonts w:hint="eastAsia" w:ascii="宋体" w:hAnsi="宋体" w:eastAsia="宋体" w:cs="宋体"/>
                <w:i w:val="0"/>
                <w:iCs w:val="0"/>
                <w:color w:val="auto"/>
                <w:sz w:val="20"/>
                <w:szCs w:val="20"/>
                <w:u w:val="none"/>
                <w:lang w:val="en-US" w:eastAsia="zh-CN" w:bidi="ar"/>
              </w:rPr>
              <w:t xml:space="preserve">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无线麦克风</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1、整机尺寸长≤150mm，外壳ABS材质。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2、电池容量：1000mah±5%。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3、充电电压：DC 5V。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4、工作温度 -10℃～40℃。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5、使用寿命：≥280个循环。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6、麦克风类型：全指向性驻极体。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7、咪头灵敏度：-32 dBV/Pa±2dB。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8、咪头频率响应：100Hz～20KHz。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10、咪头最大声压级：≥110dB@(THD&lt;3%)。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11、咪头信噪比：≥70dB @(f=1KHZ,S.P.L=1Pa，A-weighted)。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12、具有配对指示灯提示功能。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13、充电接口：type-C充电接口，3PIN 充电触点。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14、充电方式：放置在主机的麦克风收纳槽内进行充电，插入type-c接口的USB充电线充电。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15、采用锂电池供电，可充电循环使用，连续使用时间≥5小时。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16、具有音量大小调节、PPT翻页和激光笔功能。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17、使用时无固定位置要求，在教室范围内可自由移动。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18、体积小巧、便于携带、悬挂等安装方式。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19、可灵活配对，一个麦克风可适配所有同系列主机。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20、双击电源键，支持蓝牙功能的设备开启和关闭。</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无线教学扩声音箱</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1、整机尺寸长度：≤300mm。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2、外壳材质：ABS材质。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3、安装方式：集成在灯具上或吸顶安装。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4、工作电压：AC 220V/50HZ。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5、信噪比：≥80dB@1W。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6、动态范围 ：麦克风-主机：10mv~160mv。</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7、无线频段：450Mhz~700Mhz。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8、频率响应：线路输入20Hz–20 kHz。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9、输入灵敏度：（-20dbFS）-0dbFS。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10、失真度（失真+噪声）：＜0.5%@1W。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11、喇叭功率：4Ω 10W。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12、工作温度：-10℃~40℃。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13、支持专业数字U段无线传输，有效避开校园内其他无线信号（如蓝牙、WiFi等）干扰。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14、安装方式灵活：与灯融合(声光一体)，吸顶安装，壁挂安装。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15、扩声器多点均衡布局，实现教室均衡扩声。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16、采用全音域喇叭与导向式音箱设计，音色饱满。</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投标文件中提供具有CMA标识的完整的无线教学扩声</w:t>
            </w:r>
            <w:bookmarkStart w:id="196" w:name="_GoBack"/>
            <w:r/>
            <w:bookmarkEnd w:id="196"/>
            <w:r>
              <w:rPr>
                <w:rFonts w:hint="eastAsia" w:ascii="宋体" w:hAnsi="宋体" w:eastAsia="宋体" w:cs="宋体"/>
                <w:i w:val="0"/>
                <w:iCs w:val="0"/>
                <w:color w:val="auto"/>
                <w:sz w:val="20"/>
                <w:szCs w:val="20"/>
                <w:u w:val="none"/>
                <w:lang w:val="en-US" w:eastAsia="zh-CN" w:bidi="ar"/>
              </w:rPr>
              <w:t xml:space="preserve">音箱检测报告，测试内容需完全符合参数要求，不得缺项、漏项，否则视为负偏离。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棋社-遮光帘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定制木质烤漆装饰造型（化学特调古铜色金属漆）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r>
      <w:tr>
        <w:trPr>
          <w:jc w:val="center"/>
          <w:trHeight w:val="93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非遗造型软膜光源体8W/㎡，光通量：≥3200lm，色温：4000K（暖光色）。显色指数：Ra≥92，防护等级：IP20。特性：低压24V供电。嵌入式无边框COB射灯模块，7W/10W/14W，光效：≥110lm/W，色温：3000K-6500K（±50K），显色指数：Ra≥95（R9&gt;90），光束角：24°/36°/60°，防护等级：IP44。安装方式：半嵌入式造型结合。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发绣非遗元素艺术氛围装饰。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发绣制作社-艺术造型</w:t>
            </w:r>
            <w:r/>
          </w:p>
        </w:tc>
        <w:tc>
          <w:tcPr>
            <w:shd w:val="clear" w:color="auto" w:fill="auto"/>
            <w:tcW w:w="5287" w:type="dxa"/>
            <w:vAlign w:val="center"/>
            <w:textDirection w:val="lrTb"/>
            <w:noWrap w:val="false"/>
          </w:tcPr>
          <w:p>
            <w:pPr>
              <w:numPr>
                <w:ilvl w:val="0"/>
                <w:numId w:val="1"/>
              </w:num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发绣制作社-艺术氛围展示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u w:val="none"/>
                <w:lang w:val="en-US" w:eastAsia="zh-CN" w:bidi="ar"/>
              </w:rPr>
              <w:t xml:space="preserve">1、信息参数：6000*2800mm，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51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发绣制作社-</w:t>
            </w:r>
            <w:r>
              <w:rPr>
                <w:rFonts w:hint="eastAsia" w:ascii="宋体" w:hAnsi="宋体" w:eastAsia="宋体" w:cs="宋体"/>
                <w:i w:val="0"/>
                <w:iCs w:val="0"/>
                <w:color w:val="auto"/>
                <w:sz w:val="20"/>
                <w:szCs w:val="20"/>
                <w:u w:val="none"/>
                <w:lang w:val="en-US" w:eastAsia="zh-CN" w:bidi="ar"/>
              </w:rPr>
              <w:t xml:space="preserve">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u w:val="none"/>
                <w:lang w:val="en-US" w:eastAsia="zh-CN" w:bidi="ar"/>
              </w:rPr>
              <w:t xml:space="preserve">1、信息参数：7500*2800mm，主体结构组件采用18mm实木多层基材，表面定制木质复合饰面，高分子装饰层（厚度≥3mm，邵氏硬度60±5）。静态承重≥200kg/m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异形艺术雕刻部件。定制自办展示版面部件，饰面类型：三聚氰胺纸/木皮/喷绘布，压纹工艺：条纹（3cm/5cm宽）、方格、竹纹（误差≤±0.5mm），邵氏硬度：≥60 HA（GB/T 531.1），热压成型：温度180-220℃，压力≥8MPa。成品仿古木质装饰层架。高分子纳米复合艺术雕刻装饰。艺术浅浮雕。环保木质地脚围板。定制半自动作品展示展陈框架。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52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发绣制作社-多功能储物柜</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1、信息参数：900*600*400mm（高*宽*厚）主体框架采用E0级橡胶实木颗粒板</w:t>
            </w:r>
            <w:r>
              <w:rPr>
                <w:rFonts w:hint="eastAsia" w:ascii="宋体" w:hAnsi="宋体" w:eastAsia="宋体" w:cs="宋体"/>
                <w:i w:val="0"/>
                <w:iCs w:val="0"/>
                <w:color w:val="ff0000"/>
                <w:sz w:val="20"/>
                <w:szCs w:val="20"/>
                <w:u w:val="none"/>
                <w:lang w:val="en-US" w:eastAsia="zh-CN" w:bidi="ar"/>
              </w:rPr>
              <w:t xml:space="preserve">（符合GB/T 3324-2024）</w:t>
            </w:r>
            <w:r>
              <w:rPr>
                <w:rFonts w:hint="eastAsia" w:ascii="宋体" w:hAnsi="宋体" w:eastAsia="宋体" w:cs="宋体"/>
                <w:i w:val="0"/>
                <w:iCs w:val="0"/>
                <w:color w:val="auto"/>
                <w:sz w:val="20"/>
                <w:szCs w:val="20"/>
                <w:u w:val="none"/>
                <w:lang w:val="en-US" w:eastAsia="zh-CN" w:bidi="ar"/>
              </w:rPr>
              <w:t xml:space="preserve">，含水率8-12%，甲醛释放量≤0.05mg/L。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面板材质：一级柚木贴皮（厚度≥0.6mm，GB/T 15036.2标准），耐磨转数≥3000转（依据GB/T 17657-2022）。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防潮处理：真空加压注入ACQ防腐剂（载药量≥6.5kg/m</w:t>
            </w:r>
            <w:r>
              <w:rPr>
                <w:rFonts w:hint="eastAsia" w:ascii="宋体" w:hAnsi="宋体" w:eastAsia="宋体" w:cs="宋体"/>
                <w:color w:val="auto"/>
                <w:sz w:val="20"/>
                <w:szCs w:val="20"/>
                <w:u w:val="none"/>
                <w:lang w:val="en-US" w:eastAsia="zh-CN" w:bidi="ar"/>
              </w:rPr>
              <w:t xml:space="preserve">³，符合LY/T 1636-2017）</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结构组件：品牌三合一连接件（抗拉强度≥1200N，盐雾测试≥2000小时），液压缓冲铰链（开合寿命≥5万次，噪音≤35dB），隐藏式滑轨（承重≥50kg，抽拉顺滑度≤10N摩擦力）。</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静态承重：单层货架≥80kg（依据QB/T 2530-2011测试方法），抗倾覆系数：≥1.5（满载状态下倾斜角≤10°不倾倒）。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隔板挠度：≤1.5mm/m（加载50kg持续24小时，依据GB/T 10357.3）</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尺寸公差：长度/宽度误差≤±1.5mm，高度误差≤±2mm（激光定位切割）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直角度：边角垂直度≤0.8mm/m（水平仪检测）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封边质量：PVC封边条贴合度≤0.3mm缝隙。储物柜相关技术要求：依据</w:t>
            </w:r>
            <w:r>
              <w:rPr>
                <w:rFonts w:hint="eastAsia" w:ascii="宋体" w:hAnsi="宋体" w:eastAsia="宋体" w:cs="宋体"/>
                <w:color w:val="ff0000"/>
                <w:sz w:val="20"/>
                <w:szCs w:val="20"/>
                <w:u w:val="none"/>
                <w:lang w:val="en-US" w:eastAsia="zh-CN" w:bidi="ar"/>
              </w:rPr>
              <w:t xml:space="preserve">GB/T 3324-2024</w:t>
            </w:r>
            <w:r>
              <w:rPr>
                <w:rFonts w:hint="eastAsia" w:ascii="宋体" w:hAnsi="宋体" w:eastAsia="宋体" w:cs="宋体"/>
                <w:color w:val="auto"/>
                <w:sz w:val="20"/>
                <w:szCs w:val="20"/>
                <w:u w:val="none"/>
                <w:lang w:val="en-US" w:eastAsia="zh-CN" w:bidi="ar"/>
              </w:rPr>
              <w:t xml:space="preserve">《木家具通用技术条件》、</w:t>
            </w:r>
            <w:r>
              <w:rPr>
                <w:rFonts w:hint="eastAsia" w:ascii="宋体" w:hAnsi="宋体" w:eastAsia="宋体" w:cs="宋体"/>
                <w:color w:val="ff0000"/>
                <w:sz w:val="20"/>
                <w:szCs w:val="20"/>
                <w:u w:val="none"/>
                <w:lang w:val="en-US" w:eastAsia="zh-CN" w:bidi="ar"/>
              </w:rPr>
              <w:t xml:space="preserve">GB/T 35607-2024</w:t>
            </w:r>
            <w:r>
              <w:rPr>
                <w:rFonts w:hint="eastAsia" w:ascii="宋体" w:hAnsi="宋体" w:eastAsia="宋体" w:cs="宋体"/>
                <w:color w:val="auto"/>
                <w:sz w:val="20"/>
                <w:szCs w:val="20"/>
                <w:u w:val="none"/>
                <w:lang w:val="en-US" w:eastAsia="zh-CN" w:bidi="ar"/>
              </w:rPr>
              <w:t xml:space="preserve">《绿色产品评价 家具》、QB/T 2530-202</w:t>
            </w:r>
            <w:r>
              <w:rPr>
                <w:rFonts w:hint="eastAsia" w:ascii="宋体" w:hAnsi="宋体" w:eastAsia="宋体" w:cs="宋体"/>
                <w:color w:val="auto"/>
                <w:sz w:val="20"/>
                <w:szCs w:val="20"/>
                <w:u w:val="none"/>
                <w:lang w:val="en-US" w:eastAsia="zh-CN" w:bidi="ar"/>
              </w:rPr>
              <w:t xml:space="preserve">3《木制柜》，检测内容中：净深≥245，层间净高≥330，产品外形尺寸偏差中产品外形宽、深、高尺寸的极限偏差为±5，配套或组合产品的极限偏差应同取正值或负值，面板、框架对角线长度≥1000mm的检测中，要求≤3.0，面板、正视面板件对角线长度(700,1400)，要求≤2.0，面板、正视面板件对角线长度≤700，要求≤1.0，平整度面板、正视面板件:≤0.20mm.位差度(mm)中,门与框架、门与门相邻表面、抽屉与框架、抽屉与门、抽屉与抽屉相邻两表面间的距离偏差(非设计要求的距离)≤2.0mm，分缝(mm)</w:t>
            </w:r>
            <w:r>
              <w:rPr>
                <w:rFonts w:hint="eastAsia" w:ascii="宋体" w:hAnsi="宋体" w:eastAsia="宋体" w:cs="宋体"/>
                <w:color w:val="auto"/>
                <w:sz w:val="20"/>
                <w:szCs w:val="20"/>
                <w:u w:val="none"/>
                <w:lang w:val="en-US" w:eastAsia="zh-CN" w:bidi="ar"/>
              </w:rPr>
              <w:t xml:space="preserve">中，所有分缝(非设计要求时)≤2.00mm,底脚平稳性(mm)≤2.0,表面理化性能要求-漆膜,耐液性(级),10%碳酸钠溶液，24h;10%乙酸溶液，24h应不低于3级。耐湿热(级),20min，70℃。应不低于3级。耐干热(级)20min，70℃。应不低于3级。附着力(级)涂层交叉切割法。应不低于3级，耐冷热温差，高温(40+2)℃，相对湿度(95+3)%，1h。低温(-20+2)℃，1h。3周期。应无鼓泡裂缝和明显失光。耐磨性(级)1000转。应不低于3级。抗冲击(级)冲击高度50mm。应不低于3级。</w:t>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投标文件中提供具有CMA标识的完整的储物柜检测报告</w:t>
            </w:r>
            <w:r>
              <w:rPr>
                <w:rFonts w:hint="eastAsia" w:ascii="宋体" w:hAnsi="宋体" w:eastAsia="宋体" w:cs="宋体"/>
                <w:color w:val="auto"/>
                <w:sz w:val="20"/>
                <w:szCs w:val="20"/>
                <w:u w:val="none"/>
                <w:lang w:val="en-US" w:eastAsia="zh-CN" w:bidi="ar"/>
              </w:rPr>
              <w:t xml:space="preserve">，测试内容需完全符合参数要求，不得缺项、漏项，否则视为负偏离。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6</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发绣制作社-便携式绣架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1、信息参数：折叠式金属框架，配吸盘底座，可吸附于桌面。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30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发绣制作社-可调式刺绣台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桌子尺寸规格：长度：1200mm，宽度：600mm，高度：750mm±2mm。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3、五金：采用优质五金（包含但不限于连接件、脚钉，五金配件结合紧密，牢固，间隙细小且均匀，平整无毛刺。）</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发绣制作社-针线收纳盒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1、信息参数：分格塑料盒（15×10×5cm），含针插、线轴固定位。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发绣制作社-发绣工作台套装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8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发绣制作社-发绣工作椅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1、基材采用白蜡木原木，木材含水率8%～16%，甲醛释放量≤0.01mg/m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发绣制作社-传统技艺百科知识系统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1.触摸屏:21.5寸电容式触摸套件，外形美观，方便后期维护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显示器:21.5英寸液晶显示屏，分辨率1920*1080，显比：16:9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机柜:冷轧钢板机柜，钢琴烤漆工艺,宽440MM*高883MM*厚160MM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主机:I5 三代</w:t>
            </w:r>
            <w:r>
              <w:rPr>
                <w:rFonts w:hint="eastAsia" w:ascii="宋体" w:hAnsi="宋体" w:eastAsia="宋体" w:cs="宋体"/>
                <w:color w:val="auto"/>
                <w:sz w:val="20"/>
                <w:szCs w:val="20"/>
                <w:u w:val="none"/>
                <w:lang w:val="en-US" w:eastAsia="zh-CN" w:bidi="ar"/>
              </w:rPr>
              <w:t xml:space="preserve">   2.4GHz， 8G内存，256G固态硬盘，WIFI 2.4G，输入端口：1*LAN端口，3*USB3.0端口，3*USB2.0端口，1*MIC-IN端口。输出端口：1*HDMI端口，1*VGA端口，1*LINE-OUT端口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耳机:漫步者有线头戴式耳机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本软件为单机软件，本系统由电子报纸数据管理系统和触摸屏电子图书阅读系统组成。电子报纸数据管理系统可以充分利用互联网的丰富资源，快速采集各大报刊的最新电子数据信息，经过分类、整理和格式处理，将数据源传送到用户电子报系统服务器或本地硬盘，广大用户就可以通过分散覆盖的触摸屏电子报阅读系统（即用户终端）方便快捷的阅读到大量最新、最及时的信息、资讯以及各种读者感兴趣的内容。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3.提供不少于100000本高清电子图书，300种报纸，800种期刊，1000个视频，1000个音频；图书内容定期更新，每月更新量不少于150本。</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4.具备放大缩小版面功能：按钮美观大方，可点击版面进行拖动浏览，读者无法随意退出至桌面或对软件本身进行修改。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5.系统可设置定时开机、关机，设备日常工作基本无需人工干预。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读者在阅读当天的最新图书，还可以通过日历导航阅读往期电子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软件开机后自动运行。软件界面美观大方，系统索引导航功能完善，版面简洁,用户可以自行修改LOGO，文字等，具有支持无互联网状态下用户管理员扫描自有图书、自有视频上传到终端功能。具有热点新闻和全国党建网站发布功能，具有分类多维度查询功能。图书分类法的分类类型划分：报纸,期刊,视频,音频,A马克思、列宁、毛泽东、邓小平理论,B哲学、宗教,C社会科学总论,D政治、法律,E军事,F经济</w:t>
            </w:r>
            <w:r>
              <w:rPr>
                <w:rFonts w:hint="eastAsia" w:ascii="宋体" w:hAnsi="宋体" w:eastAsia="宋体" w:cs="宋体"/>
                <w:color w:val="auto"/>
                <w:sz w:val="20"/>
                <w:szCs w:val="20"/>
                <w:u w:val="none"/>
                <w:lang w:val="en-US" w:eastAsia="zh-CN" w:bidi="ar"/>
              </w:rPr>
              <w:t xml:space="preserve">,G文化、科学、教育、体育,H语言、文字,I文学,J艺术,K历史、地理,N自然科学总论,O数理科学和化学,P天文学、地球科学,Q 生物科学,R 医药、卫生,S农业科学,T工业技术,U 交通运输,V 航空、航天,X 环境科学、安全科学,Z 综合性图书等不限级树形结构分类提供不同的书籍，并包含全国优秀儿童奖、百年百部中国儿童文学、诺贝尔文学奖、世界文学名著、中小学必读书籍、国学经典、哲学书籍、文学艺术等分类，也可以根据自己的情况无限级增加分类和子分类。支持一本图书可以增加多个章节，每个章节可以增加多个文件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8.版面需要有报纸,图书,期刊,视频,音频,党建网站,视频广告,公告新闻等模块。支持手机微信或者其它扫码方式直接扫二维码下载阅读报纸，期刊，图书，视频，音频文件到手机阅读。可以支持手机APP阅读和平板墨水屏阅读本阅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 9.远程自动升级功能。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10.资源部分：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1、资源数量：资源库应满足电子图书数量资源不少于10万册出版社授权版权图书，有声图书数量6万集， 其中解读书2000集。近四年新书占比30%以上。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2、资源年更新量：电子图书不少于20000种，有声图书不少于6000集。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3、电子图书和有声图书在同一平台上运行查阅和收听。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4、资源格式：所有电子图书均为 EPUB 格式，有声图书须为 MP3 格式。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5、资源分类：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电子图书资源应包含中国传统技艺、刺绣技艺技法、各类文学、艺术、社会科学、历史、哲学、心理、法律、医学、青春、传记、生活、“政治/军事”、“科普/ 互联网+”、“经济/管理”、“运动/养生”等分类资源。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有声图书应包含解读书、知识课程、人文社科、经管、文学、励志、英语学习、亲子儿童、国学、评书、广播剧等分类资源。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6、涵盖“江南民间发绣”“中国发绣艺术”专题图书。</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7、资源版权保障：电子图书均为正版资源。</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5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发绣制作社-发绣技艺基础配置包套装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1、信息参数：包含绣绷、发丝梳、剪刀、底料、练习亚麻布、练习丝绸布、白乳胶、透明亚克力尺、微型吸尘器、清洁套装。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196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61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发绣制作社-定制竹帘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1、信息参数：尺寸：3000×1800mm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35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定制尖顶框架光源体12W/㎡，光通量：≥3200lm，色温：4000K（暖光色）。显色指数：Ra≥92，防护等级：IP20。特性：低压24V供电。嵌入式无边框COB射灯模块，7W/10W/14W，光效：≥110lm/W，色温：3000K-6500K（±50K），显色指数：Ra≥95（R9&gt;90），光束角：24°/36°/60°，防护等级：IP44。安装方式：半嵌入式吊装结合造型。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非遗中国风元素艺术氛围装饰。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非遗手工社-非遗手工基础配置包套装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1、信息参数：包含工具类（刻刀、剪刀等）、基础材料类。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操作台长度：1200mm，宽度：500mm，高度750mm±2mm。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18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非遗手工社-多功能操作台凳</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4.软包及面料:面料：采用优质皮革，符合GB/T 16799-2018《家具用皮革》标准；摩擦色牢度（干擦、湿擦、碱性汗液）≥4级，撕裂力≥20N，气味≤3级，PH≥3.2，以上检测均检测合格符合检测标准，禁用偶氮染料未检测出，游离甲醛未检出，可萃取的重金属（铅、镉）均未检出；感官要求：革身平整、柔软、丰满有弹性，正面革不裂面、无管皱、主要部位不松面，涂饰革涂面均匀，不掉浆，不裂浆等符合检测标准，皮面柔软舒适透气性强，光泽度好，富于韧性。经液氨多道浸色及防潮、防腐等工艺处理，坐感舒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5.海绵：采用</w:t>
            </w:r>
            <w:r>
              <w:rPr>
                <w:rFonts w:hint="eastAsia" w:ascii="宋体" w:hAnsi="宋体" w:eastAsia="宋体" w:cs="宋体"/>
                <w:i w:val="0"/>
                <w:iCs w:val="0"/>
                <w:color w:val="auto"/>
                <w:sz w:val="20"/>
                <w:szCs w:val="20"/>
                <w:u w:val="none"/>
                <w:lang w:val="en-US" w:eastAsia="zh-CN" w:bidi="ar"/>
              </w:rPr>
              <w:t xml:space="preserve">高弹力聚氨酯阻燃海绵，符合GB/T 10802-2006《通用软质聚醚型聚氨酯泡沫塑料》标准；感官要求：色泽、气孔、污染、气味等以上检测均检测合格，压陷性能：25%压陷硬度196±18N、65%/25%压陷比≥1.8等以上检测均检测合格，75%压缩永久变形≤8%，回弹率≥35%，拉伸强度≥100kpa，伸长率≥100%，撕裂强度≥1.8N/cm，干热老化后拉伸强度≥55Kpa，干热老化后拉伸强度变化率±30%，湿热老化后拉伸强度≥55Kpa，湿热老化后拉伸强度变化率±30%，以上检测均检测合格符合检测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52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非遗手工社-多功能储物台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尺寸规格：长度1200mm，宽度500mm，高度750mm。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4.使用优质品牌阻尼导轨，300h乙酸盐雾试验(ASS)不低于10级，符合GB/T2454-2013要求，通过耐久性10万次测试。</w:t>
            </w:r>
            <w:r>
              <w:rPr>
                <w:rFonts w:hint="eastAsia" w:ascii="宋体" w:hAnsi="宋体" w:eastAsia="宋体" w:cs="宋体"/>
                <w:b/>
                <w:bCs/>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t xml:space="preserve">投标文件中提供具有CMA标识的完整的阻尼导轨检测报告</w:t>
            </w:r>
            <w:r>
              <w:rPr>
                <w:rFonts w:hint="eastAsia" w:ascii="宋体" w:hAnsi="宋体" w:eastAsia="宋体" w:cs="宋体"/>
                <w:i w:val="0"/>
                <w:iCs w:val="0"/>
                <w:color w:val="auto"/>
                <w:sz w:val="20"/>
                <w:szCs w:val="20"/>
                <w:u w:val="none"/>
                <w:lang w:val="en-US" w:eastAsia="zh-CN" w:bidi="ar"/>
              </w:rPr>
              <w:t xml:space="preserve">，参考QB/T2454-2013标准，抽样基数≥100，检测项目：中性盐雾试验（600h）涂层的耐蚀等级10级，涂层对基体保护等级10级。乙酸盐雾试验（300h）涂层本身的耐腐蚀能力10级，垂直向下静载荷符合要求,水平侧向静荷载符合要求，测试内容需完全符合参数要求，不得缺项、漏项，否则视为负偏离。</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非遗手工社-陶艺拉坯机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LCD液晶屏实时显示转速/转向/运行时间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内置10种预设模式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功率：400W（双电机驱动，扭矩≥2.5N·m）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转盘直径：31.5cm（铸铁+防滑硅胶涂层）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精度：转速误差≤±2转/分钟，水平度误差≤0.1mm/m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6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非遗手工社-木刻刀套装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​：含平口刀（6-12mm）、圆弧刀（3-5mm）、斜口刀，不锈钢材质，刀柄防滑设计。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​适用场景​：木雕、竹雕、核雕等。</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82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非遗手工社-电动雕刻机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​：转速0-3000rpm可调，配夹具底座，功率150W，适合软木、蜡材雕刻。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71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非遗手工社-篆刻刀</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​：平口斜刀（6-8cm），钨钢材质，刀刃角度30°-45°。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47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非遗手工社-印床</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1、信息参数：木质底座，可调夹具，用于固定印石。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37"/>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非遗手工社-拓印工具包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1、信息参数：含拓包（3种尺寸）、拓纸、朱砂颜料、鬃刷，适用于碑帖、陶器拓印。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9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非遗手工社-手摇缝纫机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1、信息参数：基础款，支持直线/锁边缝纫，针距可调（2.5-4mm）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非遗手工社-非遗文化智能交互系统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硬件参数：                                                                                                                                          CPU XR2，7nm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GPU Adreno650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内存 8GB，LPDDR5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闪存 UFS3.1 ，128GB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操作系统 Android 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 2.89" FastLCD*2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单眼分辨率 2160*2160，PPI：1058</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刷新率 72Hz/90 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视场角 实测100度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透镜 菲涅尔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前置摄像头 4颗灰度摄像头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手柄 CV方案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人体工程设计 眼镜形态，前置电池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电池容量 4200mAh</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电池 锂电池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扬声器  近耳双喇叭                                                                                                                                配套显示屏：1.显示屏体类别:LED;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2.画面比例支持:4:3，16:9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3.显示屏背光类型:LED;</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4.屏幕尺寸:≥55寸: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5.分辨率:&gt;1920像素*1080像素: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6.对比度:&gt;50000:1: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7.响应时间:≤8毫秒;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8.使用寿命&gt;30000小时: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9.电源性能:100-240V交流，50/60HZ:                                                                                          软件参数：                                                                     </w:t>
            </w:r>
            <w:r>
              <w:rPr>
                <w:rFonts w:hint="eastAsia" w:ascii="宋体" w:hAnsi="宋体" w:eastAsia="宋体" w:cs="宋体"/>
                <w:i w:val="0"/>
                <w:iCs w:val="0"/>
                <w:color w:val="auto"/>
                <w:sz w:val="20"/>
                <w:szCs w:val="20"/>
                <w:u w:val="none"/>
                <w:lang w:val="en-US" w:eastAsia="zh-CN" w:bidi="ar"/>
              </w:rPr>
              <w:t xml:space="preserve">                                                                    1、利用逼真的画面和出色的3D效果，VR课程资源提供学生沉浸式的学习体验，仿佛身临其境，实现情景式、互动式和探究式教学的常态化。这些资源涵盖了从中国艺术到世界艺术、从文物遗产到非遗工艺等广泛内容。从宏观赏析到近距离细节观赏、从虚拟现实的绘制搭建到虚拟空间的工艺制作，让用户在课程中有深度互动，让教学更生动有趣，使教学更加生动有趣，让学习者真正享受学习的乐趣，进而提升学习效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VR课程资源包在主题系列上主要分为“中国艺术鉴赏系列”、“世界艺术鉴赏系列”、“文化遗产系列”，在知识点上，基本涵盖了人教版美术、历史、地理、道德与法治、语文等知识点，VR课程资源数量为80节。（</w:t>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投标文件中需提供VR课程资源数量不少于80节的截图证明）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3、VR课程在课程资源管理方面，按系列、主题等进行分门别类管理 ,在知识层面尽可能包罗万象，满足实际教学需求；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4、VR课程资源包内容包括但不限于：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中国艺术鉴赏系列”包含：“书画艺术”、“民间工艺”、“戏曲艺术”、等主题单元，“中国艺术鉴赏系列”VR课程内容包括但不限于：《充满魅力的书画艺术》、《象外之境——王希孟与&lt;千里江山图&gt;》、《清明上河图》、《京剧脸谱---非遗文化》、《陶瓷工艺---非遗文化》、《雕漆工艺---非遗文化》、《充满魅力的戏曲艺术》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世界艺术鉴赏系列”包含：“绘画艺术”、“雕塑艺术”等主题单元，“世界艺术鉴赏系列”VR课程内容包括但不限于：《达芬奇名画——蒙娜丽莎》、《梵高名画——星夜》、《俄罗斯&lt;列宾-伏尔加河上的纤夫&gt;》、《拉奥孔和他的儿子们》、《理想与典范——米洛斯的维纳斯》、《埃及王后纳芙蒂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文化遗产系列”包含：“传统节日”、“历史遗珠”、“青铜文明”、“建筑遗产”、“雕塑艺术”等主题单元，“文化遗产系列”VR课程内容包括但不限于：《快乐过春节》、《史前考古——鱼纹彩陶盆》、《青铜器与甲骨文》、《藏礼于器：商周青铜簋》、《鸱鸮崇拜：商代鸮尊》、《中国古建筑》、《凝神造像——摩崖石刻乐山大佛》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b/>
                <w:bCs/>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5、投标文件中需提供VR课程资源包的“教学管理平台软件”、“科学在线教育软件”计算机软件著作权登记证书。                                                                                                                                                     </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非遗手工社-艺术氛围展示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w:t>
            </w:r>
            <w:r>
              <w:rPr>
                <w:rFonts w:hint="eastAsia" w:ascii="宋体" w:hAnsi="宋体" w:eastAsia="宋体" w:cs="宋体"/>
                <w:color w:val="auto"/>
                <w:sz w:val="20"/>
                <w:szCs w:val="20"/>
                <w:u w:val="none"/>
                <w:lang w:val="en-US" w:eastAsia="zh-CN" w:bidi="ar"/>
              </w:rPr>
              <w:t xml:space="preserve">0MPa（依据GB/T 17657-2022三点弯曲试验）。剥离强度≥120N/cm（纵向，GB/T 2791-1995标准）。定制文化石复合墙面饰面装饰。定制展示版面部件，饰面类型：三聚氰胺纸/木皮/喷绘布，压纹工艺：条纹（3cm/5cm宽）、方格、竹纹（误差≤±0.5mm），邵氏硬度：≥60 HA（GB/T 531.1），热压成型：温度180-220℃，压力≥8MPa。成品金属展陈组件，木质展陈组件，8mm浮法玻璃饰面。12mm高分子涂层复合艺术雕刻装饰。艺术浅浮雕。异形艺术雕刻部件。环保木质地脚围板。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非遗手工社-定制竹帘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81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1、信息参数：定制超薄专业摄影光源体8W/m2，光通量：≥3200lm，色温：4000K（自然光色）。显色指数：Ra≥92，防护等级：IP20。特性：低压24V供电，铝合金散热背板。嵌入式无</w:t>
            </w:r>
            <w:r>
              <w:rPr>
                <w:rFonts w:hint="eastAsia" w:ascii="宋体" w:hAnsi="宋体" w:eastAsia="宋体" w:cs="宋体"/>
                <w:i w:val="0"/>
                <w:iCs w:val="0"/>
                <w:color w:val="auto"/>
                <w:sz w:val="20"/>
                <w:szCs w:val="20"/>
                <w:u w:val="none"/>
                <w:lang w:val="en-US" w:eastAsia="zh-CN" w:bidi="ar"/>
              </w:rPr>
              <w:t xml:space="preserve">边框COB射灯模块，7W/10W/14W，光效：≥110lm/W，色温：3000K-6500K（±50K），显色指数：Ra≥95（R9&gt;90），光束角：24°/36°/60°，防护等级：IP44。安装方式：嵌入式开孔。特性：深杯防眩结构。轨道射灯，灯体采用铝压铸外壳（表面烤漆半哑光处理），灯头直径91-140mm，高度160-270mm，内置COB光源（美国CREE芯片），防护等级IP42，水平360°可调，垂直90°可调。输入电压AC220V±10%，50/60Hz，功率因数≥0.9，驱动方式为恒流电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摄影元素艺术氛围装饰。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42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摄影社-艺术造型</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摄影社-木制艺术展览板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2791-1995标准）。定制艺术写真装置部件。定制异形艺术雕刻部件。定制自办展示版面部件，饰面类型：三聚氰胺纸/木皮/喷绘布，压纹工艺：条纹（3cm/5cm宽）、方格、竹纹（误差≤±0.5mm），邵氏硬度：≥60 HA（GB/T 531.1），热压成型：温度180-220℃，压力≥8MPa。高分子纳米复合艺术雕刻装饰。艺术展示画框。环保木质地脚围板。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摄影社-入门级相机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画质系统：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2410万像素 APS-C CMOS传感器（有效像素）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DIGIC 8图像处理器，支持ISO 100-25600（可扩展至51200）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对焦性能：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全像素双核CMOS AF II，45点十字对焦系统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支持人眼追踪（适合书画细节特写）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视频功能：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1080P 60fps录制，支持4K超采样技术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电子防抖（裁切模式）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教学适配：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3英寸104万点可翻转触摸屏（支持多角度取景）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内置《摄影构图基础》教学指南（扫码获取电子版）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便携性：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机身重量449g（含电池），镁合金防尘防滴溅设计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9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1.信息参数：包含三脚架、存储卡、灯光套装、镜头清洁套装、相机防潮箱、背景布、支架、柔光板、反光板。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6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摄影社-艺术展示画框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1.规格：定制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2.参数：铝合金边框，厚度2cm，适配40×60cm摄影作品，带磁吸锁扣</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摄影社-摄影幕布</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1.规格：3000×2100mm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2.参数：定制绿幕（抠像专用）植绒吸光布（如黑色金丝绒），克重≥200gsm，遮光率95%以上，适合人像静物拍摄，色差≤5%。卷轴式设计，配备铝合金轨道（壁厚1.5mm）。阻燃性：符合GB8624-2012 B1级标准，氧指数≥32%，损毁长度≤150mm。耐用性：耐磨测试≥5000次（马丁代尔法），水洗后不变形褪色。色彩均匀度</w:t>
            </w:r>
            <w:r>
              <w:rPr>
                <w:rFonts w:hint="eastAsia" w:ascii="宋体" w:hAnsi="宋体" w:eastAsia="宋体" w:cs="宋体"/>
                <w:color w:val="auto"/>
                <w:sz w:val="20"/>
                <w:szCs w:val="20"/>
                <w:u w:val="none"/>
                <w:lang w:val="en-US" w:eastAsia="zh-CN" w:bidi="ar"/>
              </w:rPr>
              <w:t xml:space="preserve">​：Delta E≤3，确保背景色一致性。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3.包含货物生产、运输、安装。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摄影社-洽谈桌</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规格：800*800*760                                                      1.基材：白蜡木原木,经防虫、防腐化学处理，稳定性好，握钉力强，不易变形；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2.优质环保白乳胶：采用优质环保乳胶剂，总挥发性有机物≤110g/L，游离甲醛≤1.0g/KG，苯≤0.20g/KG，甲苯十二甲苯≤10g/KG，符合国家标准。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89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摄影社-洽谈椅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规格：530*550*780                                                      1.椅架：白蜡木原木,经防虫、防腐化学处理，稳定性好，握钉力强，不易变形；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2.注塑一体成型椅身；</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3.油漆：采用环保底漆、面漆，见光面采用五底三面工艺，挥发性有机化合物（VOC）含量≤300g/L，符合GB/T 23986-2009、GB 18581-2020标准；苯、甲苯、二甲苯、乙苯含量总和≤250mg/KG，符合GB/T 23990-2009标准；甲醛含量≤100mg/KG,符合GB/T 23993-2009标准；油漆无颗粒、气泡、渣点、附着性强，色泽效果持久平整；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4.五金件：使用优质环保的符合国家标准的五金；三合一连接件：采用优质符合国家标准的三合一连接件。</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both"/>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摄影社-遮光帘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锡剧社-中式仿古座椅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参数：规格：600*480*900mm，座深400mm±5mm，座高420mm±5mm，1、木材选用南美胡桃木，木材含水率8%～16%，甲醛释放量≤0.01mg/m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锡剧社-中式花架</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规格：350*350*890mm  1、木材选用南美胡桃木，木材含水率8%～16%，甲醛释放量≤0.01mg/m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t xml:space="preserve">定制国学元素造型软装光源体6W/㎡，光通量：≥3200lm，色温：4000K（暖光色）。显色指数：Ra≥92，防护等级：IP20。特性：低压24V供电，铝合金散热背板。嵌入式无边框COB射灯模块，7W/10W/14W，光效：≥110lm/W，色温：3000K-6500K（±50K），显色指数：Ra≥95（R9&gt;90），光束角：24°/36°/60°，防护等级：IP44。安装方式：嵌入式开孔。特性：深杯防眩结构。LED嵌入式筒灯6W/㎡，光通量：≥3200lm，色温：4000K（自然光色），安装方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锡剧社-木制艺术造型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2791-1995标准）。定制艺术写真装置部件。环保木质地脚围板。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高分子纳米复合艺术雕刻装饰。异形艺术雕刻装饰。</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锡剧社-锡剧舞台氛围展示</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eastAsia="宋体" w:cs="宋体"/>
                <w:b w:val="0"/>
                <w:bCs w:val="0"/>
                <w:i w:val="0"/>
                <w:iCs w:val="0"/>
                <w:color w:val="auto"/>
                <w:sz w:val="20"/>
                <w:szCs w:val="20"/>
                <w:u w:val="none"/>
                <w:lang w:val="en-US" w:eastAsia="zh-CN" w:bidi="ar"/>
              </w:rPr>
              <w:t xml:space="preserve">信息参数：6000*2800mm，</w:t>
            </w:r>
            <w:r>
              <w:rPr>
                <w:rFonts w:hint="eastAsia" w:ascii="宋体" w:hAnsi="宋体" w:eastAsia="宋体" w:cs="宋体"/>
                <w:b w:val="0"/>
                <w:bCs w:val="0"/>
                <w:i w:val="0"/>
                <w:iCs w:val="0"/>
                <w:caps w:val="0"/>
                <w:color w:val="auto"/>
                <w:spacing w:val="0"/>
                <w:sz w:val="20"/>
                <w:szCs w:val="20"/>
                <w:highlight w:val="none"/>
                <w:lang w:val="en-US" w:eastAsia="zh-CN" w:bidi="ar-SA"/>
              </w:rPr>
              <w:t xml:space="preserve">材质相关参数：</w:t>
            </w:r>
            <w:r>
              <w:rPr>
                <w:rFonts w:hint="eastAsia" w:ascii="宋体" w:hAnsi="宋体" w:eastAsia="宋体" w:cs="宋体"/>
                <w:b w:val="0"/>
                <w:bCs w:val="0"/>
                <w:i w:val="0"/>
                <w:iCs w:val="0"/>
                <w:caps w:val="0"/>
                <w:color w:val="auto"/>
                <w:spacing w:val="0"/>
                <w:sz w:val="20"/>
                <w:szCs w:val="20"/>
                <w:highlight w:val="none"/>
                <w:lang w:val="en-US" w:eastAsia="zh-CN" w:bidi="ar"/>
              </w:rPr>
              <w:t xml:space="preserve">材质为织物类型，无纺布墙布为织物类墙布（如提花、绒布）：150-500g/㎡，高克重产品立体感强，艺术氛围采用3D打印。</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outlineLvl w:val="2"/>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（1）、物理性能参数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厚度（单位：mm）</w:t>
            </w:r>
            <w:r>
              <w:rPr>
                <w:rFonts w:hint="eastAsia" w:ascii="宋体" w:hAnsi="宋体" w:eastAsia="宋体" w:cs="宋体"/>
                <w:b w:val="0"/>
                <w:bCs w:val="0"/>
                <w:i w:val="0"/>
                <w:iCs w:val="0"/>
                <w:caps w:val="0"/>
                <w:color w:val="auto"/>
                <w:spacing w:val="0"/>
                <w:sz w:val="20"/>
                <w:szCs w:val="20"/>
                <w:highlight w:val="none"/>
                <w:lang w:eastAsia="zh-CN"/>
              </w:rPr>
              <w:t xml:space="preserve">，</w:t>
            </w:r>
            <w:r>
              <w:rPr>
                <w:rFonts w:hint="eastAsia" w:ascii="宋体" w:hAnsi="宋体" w:eastAsia="宋体" w:cs="宋体"/>
                <w:b w:val="0"/>
                <w:bCs w:val="0"/>
                <w:i w:val="0"/>
                <w:iCs w:val="0"/>
                <w:caps w:val="0"/>
                <w:color w:val="auto"/>
                <w:spacing w:val="0"/>
                <w:sz w:val="20"/>
                <w:szCs w:val="20"/>
                <w:highlight w:val="none"/>
              </w:rPr>
              <w:t xml:space="preserve">一般在 0.1-2mm 之间，薄款（0.1-0.5mm）适合简约风格，施工贴合度高；厚款（0.5-2mm，如绒布、发泡墙布）立体感强，但对墙面平整度要求高。</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长度（单位：m / 卷）常规每卷长度为 10m，部分窄幅产品为 5m / 卷，计算用量时需结合幅宽和墙面面积。</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3.</w:t>
            </w:r>
            <w:r>
              <w:rPr>
                <w:rFonts w:hint="eastAsia" w:ascii="宋体" w:hAnsi="宋体" w:eastAsia="宋体" w:cs="宋体"/>
                <w:b w:val="0"/>
                <w:bCs w:val="0"/>
                <w:i w:val="0"/>
                <w:iCs w:val="0"/>
                <w:caps w:val="0"/>
                <w:color w:val="auto"/>
                <w:spacing w:val="0"/>
                <w:sz w:val="20"/>
                <w:szCs w:val="20"/>
                <w:highlight w:val="none"/>
              </w:rPr>
              <w:t xml:space="preserve">拉伸强度（单位：N/5cm）指墙布抵抗拉伸断裂的能力，横向和纵向强度需分别标注（如纵向≥30N/5cm，横向≥25N/5cm）。数值越高，抗变形能力越强，适合墙面可能轻微沉降的区域。</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rPr>
              <w:t xml:space="preserve">4.</w:t>
            </w:r>
            <w:r>
              <w:rPr>
                <w:rFonts w:hint="eastAsia" w:ascii="宋体" w:hAnsi="宋体" w:eastAsia="宋体" w:cs="宋体"/>
                <w:b w:val="0"/>
                <w:bCs w:val="0"/>
                <w:i w:val="0"/>
                <w:iCs w:val="0"/>
                <w:caps w:val="0"/>
                <w:color w:val="auto"/>
                <w:spacing w:val="0"/>
                <w:sz w:val="20"/>
                <w:szCs w:val="20"/>
                <w:highlight w:val="none"/>
              </w:rPr>
              <w:t xml:space="preserve">撕裂强度（单位：N）衡量抗撕裂性能，一般≥5N，织物类墙布因纤维交织结构，撕裂强度通常高于 PVC 墙布。</w:t>
            </w:r>
            <w:r>
              <w:rPr>
                <w:rFonts w:hint="eastAsia" w:ascii="宋体" w:hAnsi="宋体" w:eastAsia="宋体" w:cs="宋体"/>
                <w:b w:val="0"/>
                <w:bCs w:val="0"/>
                <w:i w:val="0"/>
                <w:iCs w:val="0"/>
                <w:caps w:val="0"/>
                <w:color w:val="auto"/>
                <w:spacing w:val="0"/>
                <w:sz w:val="20"/>
                <w:szCs w:val="20"/>
                <w:highlight w:val="none"/>
                <w:lang w:val="en-US" w:eastAsia="zh-CN"/>
              </w:rPr>
              <w:t xml:space="preserve">      </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（2）、环保性能参数</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甲醛释放量（单位：mg/m³）</w:t>
            </w:r>
            <w:r>
              <w:rPr>
                <w:rFonts w:hint="eastAsia" w:ascii="宋体" w:hAnsi="宋体" w:eastAsia="宋体" w:cs="宋体"/>
                <w:b w:val="0"/>
                <w:bCs w:val="0"/>
                <w:i w:val="0"/>
                <w:iCs w:val="0"/>
                <w:caps w:val="0"/>
                <w:color w:val="auto"/>
                <w:spacing w:val="0"/>
                <w:sz w:val="20"/>
                <w:szCs w:val="20"/>
                <w:highlight w:val="none"/>
                <w:lang w:val="en-US" w:eastAsia="zh-CN" w:bidi="ar"/>
              </w:rPr>
              <w:t xml:space="preserve">：需符合国家标准 GB 18585-2001，要求≤0.1mg/m³，优质产品可达到≤0.05mg/m³（接近无甲醛）。</w:t>
            </w:r>
            <w:r/>
          </w:p>
          <w:p>
            <w:pPr>
              <w:numPr>
                <w:ilvl w:val="0"/>
                <w:numId w:val="0"/>
              </w:numPr>
              <w:jc w:val="left"/>
              <w:keepLines w:val="0"/>
              <w:keepNext w:val="0"/>
              <w:pageBreakBefore w:val="0"/>
              <w:spacing w:before="0" w:beforeAutospacing="0" w:after="0" w:afterAutospacing="0"/>
              <w:widowControl/>
              <w:rPr>
                <w:rFonts w:hint="eastAsia" w:ascii="宋体" w:hAnsi="宋体" w:eastAsia="宋体" w:cs="宋体"/>
                <w:b w:val="0"/>
                <w:bCs w:val="0"/>
                <w:color w:val="auto"/>
                <w:sz w:val="20"/>
                <w:szCs w:val="20"/>
                <w:highlight w:val="none"/>
                <w:lang w:eastAsia="zh-CN"/>
              </w:rPr>
              <w:pBdr>
                <w:left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rPr>
              <w:t xml:space="preserve">重金属含量（单位：mg/kg）：包括铅、镉、铬、汞等，国标要求总和≤100mg/kg，VOC（挥发性有机化合物）含量（单位：g/L）：≤100g/L 为合格，环保等级高的产品可做到≤50g/L，铺贴后异味更小。阻燃性：通过 GB 8624 标准测试，分为 A 级（不燃）、B1 级（难燃）、B2 级（可燃）</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ind w:left="0" w:firstLine="0"/>
              <w:jc w:val="left"/>
              <w:keepLines w:val="0"/>
              <w:keepNext w:val="0"/>
              <w:pageBreakBefore w:val="0"/>
              <w:spacing w:before="0" w:beforeAutospacing="0" w:after="0" w:afterAutospacing="0"/>
              <w:widowControl/>
              <w:rPr>
                <w:rFonts w:hint="eastAsia" w:ascii="宋体" w:hAnsi="宋体" w:eastAsia="宋体" w:cs="宋体"/>
                <w:b w:val="0"/>
                <w:bCs w:val="0"/>
                <w:i w:val="0"/>
                <w:iCs w:val="0"/>
                <w:caps w:val="0"/>
                <w:color w:val="auto"/>
                <w:spacing w:val="0"/>
                <w:sz w:val="20"/>
                <w:szCs w:val="20"/>
                <w:highlight w:val="none"/>
                <w:lang w:val="en-US" w:eastAsia="zh-CN" w:bidi="ar"/>
              </w:rPr>
              <w:pBdr>
                <w:bottom w:val="none" w:color="auto" w:sz="0" w:space="0"/>
              </w:pBdr>
              <w:suppressLineNumbers w:val="0"/>
            </w:pPr>
            <w:r>
              <w:rPr>
                <w:rFonts w:hint="eastAsia" w:ascii="宋体" w:hAnsi="宋体" w:eastAsia="宋体" w:cs="宋体"/>
                <w:b w:val="0"/>
                <w:bCs w:val="0"/>
                <w:i w:val="0"/>
                <w:iCs w:val="0"/>
                <w:caps w:val="0"/>
                <w:color w:val="auto"/>
                <w:spacing w:val="0"/>
                <w:sz w:val="20"/>
                <w:szCs w:val="20"/>
                <w:highlight w:val="none"/>
                <w:lang w:val="en-US" w:eastAsia="zh-CN" w:bidi="ar-SA"/>
              </w:rPr>
              <w:t xml:space="preserve">（3）、功能性能参数</w:t>
            </w:r>
            <w:r/>
          </w:p>
          <w:p>
            <w:pPr>
              <w:ind w:left="0" w:firstLine="0"/>
              <w:jc w:val="left"/>
              <w:keepLines w:val="0"/>
              <w:keepNext w:val="0"/>
              <w:pageBreakBefore w:val="0"/>
              <w:spacing w:beforeAutospacing="0" w:afterAutospacing="0"/>
              <w:widowControl/>
              <w:rPr>
                <w:rFonts w:hint="eastAsia" w:ascii="宋体" w:hAnsi="宋体" w:eastAsia="宋体" w:cs="宋体"/>
                <w:b w:val="0"/>
                <w:bCs w:val="0"/>
                <w:color w:val="auto"/>
                <w:sz w:val="20"/>
                <w:szCs w:val="20"/>
                <w:highlight w:val="none"/>
                <w:lang w:eastAsia="zh-CN"/>
              </w:rPr>
              <w:suppressLineNumbers w:val="0"/>
            </w:pPr>
            <w:r>
              <w:rPr>
                <w:rFonts w:hint="eastAsia" w:ascii="宋体" w:hAnsi="宋体" w:eastAsia="宋体" w:cs="宋体"/>
                <w:b w:val="0"/>
                <w:bCs w:val="0"/>
                <w:i w:val="0"/>
                <w:iCs w:val="0"/>
                <w:caps w:val="0"/>
                <w:color w:val="auto"/>
                <w:spacing w:val="0"/>
                <w:sz w:val="20"/>
                <w:szCs w:val="20"/>
                <w:highlight w:val="none"/>
                <w:lang w:val="en-US" w:eastAsia="zh-CN" w:bidi="ar"/>
              </w:rPr>
              <w:t xml:space="preserve">1.</w:t>
            </w:r>
            <w:r>
              <w:rPr>
                <w:rFonts w:hint="eastAsia" w:ascii="宋体" w:hAnsi="宋体" w:eastAsia="宋体" w:cs="宋体"/>
                <w:b w:val="0"/>
                <w:bCs w:val="0"/>
                <w:i w:val="0"/>
                <w:iCs w:val="0"/>
                <w:caps w:val="0"/>
                <w:color w:val="auto"/>
                <w:spacing w:val="0"/>
                <w:sz w:val="20"/>
                <w:szCs w:val="20"/>
                <w:highlight w:val="none"/>
              </w:rPr>
              <w:t xml:space="preserve">防水性（单位：mm）用 “静水压” 表示（如≥300mm），数值越高防水性越强，无纺布、织物类</w:t>
            </w:r>
            <w:r>
              <w:rPr>
                <w:rFonts w:hint="eastAsia" w:ascii="宋体" w:hAnsi="宋体" w:eastAsia="宋体" w:cs="宋体"/>
                <w:b w:val="0"/>
                <w:bCs w:val="0"/>
                <w:i w:val="0"/>
                <w:iCs w:val="0"/>
                <w:caps w:val="0"/>
                <w:color w:val="auto"/>
                <w:spacing w:val="0"/>
                <w:sz w:val="20"/>
                <w:szCs w:val="20"/>
                <w:highlight w:val="none"/>
                <w:lang w:val="en-US" w:eastAsia="zh-CN"/>
              </w:rPr>
              <w:t xml:space="preserve">防水性较强。</w:t>
            </w:r>
            <w:r>
              <w:rPr>
                <w:rFonts w:hint="eastAsia" w:ascii="宋体" w:hAnsi="宋体" w:eastAsia="宋体" w:cs="宋体"/>
                <w:b w:val="0"/>
                <w:bCs w:val="0"/>
                <w:i w:val="0"/>
                <w:iCs w:val="0"/>
                <w:caps w:val="0"/>
                <w:color w:val="auto"/>
                <w:spacing w:val="0"/>
                <w:sz w:val="20"/>
                <w:szCs w:val="20"/>
                <w:highlight w:val="none"/>
              </w:rPr>
              <w:t xml:space="preserve">普通墙布防水性较低（≤100mm），仅防轻微溅水。</w:t>
            </w:r>
            <w:r>
              <w:rPr>
                <w:rFonts w:hint="eastAsia" w:ascii="宋体" w:hAnsi="宋体" w:eastAsia="宋体" w:cs="宋体"/>
                <w:b w:val="0"/>
                <w:bCs w:val="0"/>
                <w:i w:val="0"/>
                <w:iCs w:val="0"/>
                <w:caps w:val="0"/>
                <w:color w:val="auto"/>
                <w:spacing w:val="0"/>
                <w:sz w:val="20"/>
                <w:szCs w:val="20"/>
                <w:highlight w:val="none"/>
                <w:lang w:val="en-US" w:eastAsia="zh-CN"/>
              </w:rPr>
              <w:t xml:space="preserve">2.</w:t>
            </w:r>
            <w:r>
              <w:rPr>
                <w:rFonts w:hint="eastAsia" w:ascii="宋体" w:hAnsi="宋体" w:eastAsia="宋体" w:cs="宋体"/>
                <w:b w:val="0"/>
                <w:bCs w:val="0"/>
                <w:i w:val="0"/>
                <w:iCs w:val="0"/>
                <w:caps w:val="0"/>
                <w:color w:val="auto"/>
                <w:spacing w:val="0"/>
                <w:sz w:val="20"/>
                <w:szCs w:val="20"/>
                <w:highlight w:val="none"/>
              </w:rPr>
              <w:t xml:space="preserve">透气性（单位：g/㎡・24h）指水蒸气透过量，无纺布、织物类墙布透气性较好（≥500g/㎡・24h），避免墙面发霉；PVC 墙布透气性差（≤100g/㎡・24h）</w:t>
            </w:r>
            <w:r>
              <w:rPr>
                <w:rFonts w:hint="eastAsia" w:ascii="宋体" w:hAnsi="宋体" w:eastAsia="宋体" w:cs="宋体"/>
                <w:b w:val="0"/>
                <w:bCs w:val="0"/>
                <w:i w:val="0"/>
                <w:iCs w:val="0"/>
                <w:caps w:val="0"/>
                <w:color w:val="auto"/>
                <w:spacing w:val="0"/>
                <w:sz w:val="20"/>
                <w:szCs w:val="20"/>
                <w:highlight w:val="none"/>
                <w:lang w:eastAsia="zh-CN"/>
              </w:rPr>
              <w:t xml:space="preserve">。</w:t>
            </w:r>
            <w:r/>
          </w:p>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val="0"/>
                <w:bCs w:val="0"/>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锡剧社-文化戏曲交互系统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43寸电容触摸屏 屏幕规格：43寸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液晶屏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显示比例：16：9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屏幕分辨率：1920*1080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可视角度：89/89/89/89（Typ.）(CR≥10)(上下左右)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亮度：300&amp;700cd/m2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对比度：1000:1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色彩饱和度：92%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背光寿命：大于30000hrs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触摸介质：手指、触摸笔等不透光物体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响应时间：≤14ms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使用寿命：大于30000hrs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主机配置：安卓系统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  板：RK3399</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内  存：4G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存  储：64G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显  卡：集成显卡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喇  叭：内置喇叭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摄 像 头：安卓摄像头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网  络：4G网络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功能要求：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1五大戏曲剧种：重点介绍各戏种历史，行当，特色名词、术语，以及重要的名家，剧团；各戏种的文化影响，及评价。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2戏曲欣赏：丰富的戏曲欣赏内容，含有京剧、越剧、黄梅戏、评剧、豫剧，锡剧等精选经典曲目片段，海量资源，按类别分类，便于学习。</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3经典戏歌：把戏曲唱腔和通俗歌曲结合起来的一种艺术形式。这种既像戏又像歌的唱段一经推出，立刻风靡全国。随着这类作品的日益增多，一个新的名词产生了，它就是戏歌。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4虚拟拍照：人脸追踪识别技术与戏曲的结合，通过数字互动，实现传统与科技的结合，有趣的表现形式，更能引起体验者的兴趣，更有利于戏曲的传播。</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电子相片分享到朋友圈等社交网络，起到更大范围的传播推广。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5梨园资讯：详细介绍戏曲的相关资讯；各项戏曲的推广活动平台播报；平台实时资讯更新。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6数据统计：设备运转情况，数据分析；每月每周每日体验总人次数据图；五大戏剧独立的学习观看人次；互动体验人次；朋友圈分享数据；可以与第三方数据平台共享数据，实现数据嫁接。</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99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锡剧社-木制艺术展览板B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1、信息参数：5500*2800mm，木质仿古屋檐装饰顶面，墙面结构组件采用18mm实木多层基材，表面定制木质复合饰面，高分子装饰层（厚度≥3mm，邵氏硬度60±5）。静态承重≥200kg/m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2791-1995标准）。定制异形艺术雕刻部件。定制自办展示版面部件，饰面类型：三聚氰胺纸/木皮/喷绘布，压纹工艺：条纹（3cm/5cm宽）、方格、竹纹（误差≤±0.5mm），邵氏硬度：≥60 HA（GB/T 531.1），热压成型：温度180-220℃，压力≥8MPa。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高分子涂层复合艺术雕刻装饰。异形艺术纹样装饰。定制成品浮雕纹油画饰面板。环保木质地脚围板。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101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锡剧社-锡剧化妆台组合套装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1.信息参数：包含定制锡剧化妆台、化妆镜、化妆刷套装。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54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锡剧社-移动舞台车</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1.信息参数：铝合金框架，尺寸1.5m×0.8m×0.5m，带刹车和锁紧装置。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8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锡剧社-锡剧基础配置包套装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1.信息参数：包含戏服、无线麦克风、面光灯、背景幕布。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锡剧社-定制竹帘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1、信息参数：尺寸：1600×1800mm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155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参数：基层采用高等级铝合金材质，表面经氟碳喷涂或木纹转印处理，厚度≥0.5mm，防火等级达A1级，规格覆盖底宽20-400mm、高度20-300mm。主龙骨选用镀锌钢材质，间距≤1200mm，配套T型副龙骨与边龙骨形成井字形结构，吊杆采用Φ8mm热镀锌钢，间距≤1200mm</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1、信息参数：仿古式</w:t>
            </w:r>
            <w:r>
              <w:rPr>
                <w:rFonts w:hint="eastAsia" w:ascii="宋体" w:hAnsi="宋体" w:eastAsia="宋体" w:cs="宋体"/>
                <w:i w:val="0"/>
                <w:iCs w:val="0"/>
                <w:color w:val="auto"/>
                <w:sz w:val="20"/>
                <w:szCs w:val="20"/>
                <w:u w:val="none"/>
                <w:lang w:val="en-US" w:eastAsia="zh-CN" w:bidi="ar"/>
              </w:rPr>
              <w:t xml:space="preserve">内嵌光源体7W/㎡，光通量：≥3200lm，色温：3200K（暖色）。显色指数：Ra≥92，防护等级：IP20。特性：低压24V供电。嵌入式无边框COB射灯模块，7W/10W/14W，光效：≥110lm/W，色温：3000K-6500K（±50K），显色指数：Ra≥95（R9&gt;90），光束角：24°/36°/60°，防护等级：IP44。安装方式：嵌入式。特性：深杯防眩结构。定制艺术吊装灯饰5W/㎡，光通量：≥3200lm，色温：3200K（暖色）。显色指数：Ra≥92，防护等级：IP20。安装方式：吊装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非遗传承元素艺术装饰。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非遗美食社-木制艺术造型展览板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1、信息参数：6000*2000mm，主体结构组件采用18mm实木多层基材，表面定制木质复合饰面，高分子装饰层（厚度≥3mm，邵氏硬度60±5）。静态承重≥200kg/m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17657-2022三点弯曲试验）。剥离强度≥120N/cm（纵向，GB/T 2791-1995标准）。定制艺术写真装置部件。高分子纳米复合艺术雕刻装饰。异形艺术雕刻装饰。定制成品浮雕纹油画饰面板。环保木质地脚围板。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9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非遗美食社-厨房电子秤</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​：0.1g精度，最大承重5kg，带单位切换（g/ml/oz）。</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​适用场景​：调配糖水比例、控制食材用量。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71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非遗美食社-量杯套装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1.信息参数：参数</w:t>
            </w:r>
            <w:r>
              <w:rPr>
                <w:rFonts w:hint="eastAsia" w:ascii="宋体" w:hAnsi="宋体" w:eastAsia="宋体" w:cs="宋体"/>
                <w:color w:val="auto"/>
                <w:sz w:val="20"/>
                <w:szCs w:val="20"/>
                <w:u w:val="none"/>
                <w:lang w:val="en-US" w:eastAsia="zh-CN" w:bidi="ar"/>
              </w:rPr>
              <w:t xml:space="preserve">​：玻璃材质，含1ml-1000ml刻度，耐热防摔。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38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非遗美食社-食品级清洁刷</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1.信息参数：硅胶材质，杯刷/碗刷/锅刷三件套，耐高温。</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18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w:t>
            </w:r>
            <w:r>
              <w:rPr>
                <w:rFonts w:hint="eastAsia" w:ascii="宋体" w:hAnsi="宋体" w:eastAsia="宋体" w:cs="宋体"/>
                <w:color w:val="auto"/>
                <w:sz w:val="20"/>
                <w:szCs w:val="20"/>
                <w:u w:val="none"/>
                <w:lang w:val="en-US" w:eastAsia="zh-CN" w:bidi="ar"/>
              </w:rPr>
              <w:t xml:space="preserve">​传统模具套装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1.信息参数：含月饼模、年糕模、鱼形饺模（不锈钢材质），尺寸3-8cm。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6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非遗美食社-密封保鲜盒</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1.信息参数：PP材质，容量500ml-2L，带硅胶密封圈。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r>
      <w:tr>
        <w:trPr>
          <w:jc w:val="center"/>
          <w:trHeight w:val="9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非遗美食社-小型高压锅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1.信息参数：容量1.5L，不锈钢材质，15分钟快速炖煮（如红豆沙、绿豆汤）。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398"/>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非遗美食社-小型绞肉机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1.信息参数：不锈钢机身，刀片可拆卸，适配绞肉、蔬菜切碎。</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9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非遗美食社-螺旋破碎榨汁机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1.信息参数：功率：500-800W，容量：,0.5L</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适用食材：果蔬（如苹果、胡萝卜）、纤维类（芹菜、生姜）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材质：304不锈钢。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​适用场景​：小批量食材破碎、榨汁，适合单人操作。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32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非遗美食社-小型微波炉</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color w:val="auto"/>
                <w:sz w:val="20"/>
                <w:szCs w:val="20"/>
                <w:u w:val="none"/>
                <w:lang w:val="en-US" w:eastAsia="zh-CN" w:bidi="ar"/>
              </w:rPr>
              <w:suppressLineNumbers w:val="0"/>
            </w:pPr>
            <w:r>
              <w:rPr>
                <w:rFonts w:hint="eastAsia" w:ascii="宋体" w:hAnsi="宋体" w:eastAsia="宋体" w:cs="宋体"/>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信息参数：容量：23L，功率：800W，加热方式：微波+转盘。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适用场景​：小批量加热食材或解冻，适合单人操作。</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p>
            <w:pPr>
              <w:pStyle w:val="675"/>
              <w:numPr>
                <w:ilvl w:val="0"/>
                <w:numId w:val="0"/>
              </w:numPr>
              <w:keepLines w:val="0"/>
              <w:keepNext w:val="0"/>
              <w:pageBreakBefore w:val="0"/>
              <w:spacing w:after="0" w:line="240" w:lineRule="auto"/>
              <w:widowControl w:val="off"/>
              <w:rPr>
                <w:rFonts w:hint="eastAsia"/>
              </w:rPr>
            </w:pPr>
            <w:r>
              <w:rPr>
                <w:rFonts w:hint="eastAsia" w:ascii="宋体" w:hAnsi="宋体" w:eastAsia="宋体" w:cs="宋体"/>
                <w:b/>
                <w:bCs/>
                <w:color w:val="ff0000"/>
                <w:sz w:val="20"/>
                <w:szCs w:val="20"/>
                <w:u w:val="none"/>
                <w:lang w:val="en-US" w:eastAsia="zh-CN" w:bidi="ar"/>
              </w:rPr>
              <w:t xml:space="preserve">3.投标产品需提供3C认证证书。</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非遗美食社-多功能蒸煮一体机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1.信息参数：适用场景：制作粽子、年糕、汤圆等需蒸煮的食品。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容量：10L大容量（三层蒸笼，可同时蒸整鸡、排骨、包子等非遗大份量食材）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功率：1300W高效加热（30秒速出蒸汽，缩短烹饪时间）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材质：食品级304不锈钢内胆+加厚玻璃面板（耐腐蚀、防串味）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蒸煮炖涮：支持整鸡/鱼类/面食/汤品（如广东早茶虾饺、陕西羊肉泡馍）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智能菜单：预设蒸鱼/蒸蛋/煲汤等8种模式，一键操作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缺水断电：水箱低水位自动断电</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防烫把手：隔热材质避免烫伤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w:t>
            </w:r>
            <w:r>
              <w:rPr>
                <w:rFonts w:hint="eastAsia" w:ascii="宋体" w:hAnsi="宋体" w:eastAsia="宋体" w:cs="宋体"/>
                <w:color w:val="auto"/>
                <w:sz w:val="20"/>
                <w:szCs w:val="20"/>
                <w:u w:val="none"/>
                <w:lang w:val="en-US" w:eastAsia="zh-CN" w:bidi="ar"/>
              </w:rPr>
              <w:t xml:space="preserve">​：33.3cm×29.7cm×34.5cm（适合社团操作台摆放）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119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非遗美食社-电炸锅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1.信息参数：适用场景：炸春卷、糖糕、油墩子等油炸类非遗小吃。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功率：2200W（专业级加热效率）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材质：全不锈钢机身+食品级不粘涂层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安全设计：防爆玻璃门：高温防爆裂。漏电保护：三重安全防护。</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功能：智能控温（±5℃误差）。炸篮可升降（方便取放食材）。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非遗美食社-和面机</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1.信息参数：适用场景：制作面团类食品（如月饼、馍馍），可演示“三揉三醒”传统工艺（如兰州拉面、河南烩面）。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容量：8L商用级容量（日均揉面50kg，适合高频次社团活动）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功率：800W直流电机（动力强劲，揉制筋道面团）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材质：食品级ABS塑料机身+不锈钢搅拌轴（耐高温、防锈）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功能模式：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12种预设菜单</w:t>
            </w:r>
            <w:r>
              <w:rPr>
                <w:rFonts w:hint="eastAsia" w:ascii="宋体" w:hAnsi="宋体" w:eastAsia="宋体" w:cs="宋体"/>
                <w:color w:val="auto"/>
                <w:sz w:val="20"/>
                <w:szCs w:val="20"/>
                <w:u w:val="none"/>
                <w:lang w:val="en-US" w:eastAsia="zh-CN" w:bidi="ar"/>
              </w:rPr>
              <w:t xml:space="preserve">​：和面/发酵/揉面/打蛋一键切换（如广式肠粉、云南破酥粑粑）</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智能触控屏：温度/时间精准调节（±1℃误差）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安全设计：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过热断电：连续工作30分钟自动停机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不粘涂层：搅拌桶防粘，减少食材残留</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非遗美食社-传统石磨</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1.信息参数：非遗适配：可制作山东杂粮煎饼面糊、北京驴打滚糯米粉等地方特色小吃。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材质：天然五莲黑曜石（CNAS认证无辐射）+304不锈钢防渗芯。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尺寸：直径35cm×高度28cm，重量仅38kg（传统石磨的1/10，可放于操作台上）。</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双速调节：逆时针旋转，粗磨（玉米/豆类）与细磨（豆浆/米粉）一键切换。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专利设计：磨盘可拧压调节研磨粒度，磨芯防渗漏结构（解决传统石磨藏污问题）。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安全设计：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防滑底座：配重力锁扣，防止倾倒。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过载保护：电机堵转自动断电（额定功率250W）。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881"/>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1.信息参数：包含食品级塑料储物箱、电子秤、菜板、菜刀套装、手工擀面杖套装厨房清洁工具套装。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非遗美食社-仿古桌凳套装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桌1000×1000×750mm,采用龙鳞特级独板（厚度≥3cm，含水率7%-9%），桌面为龟背纹手工雕刻（凹凸差≥1.2mm），边缘以8mm宽实木收边（倒角R3mm）。桌腿60×60mm立柱，表面涂装水性仿古漆（固体含量≥45%，耐擦洗≥5000次），辅以青铜粉氧化着色（粒径80-120目）。整体水平偏差≤3mm，承重≥200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仿古条凳800×350×450mm,凳面为实木独板（厚1.8-2cm），凳腿斜度10:1.5（"走马三分两"传统比例），榫卯连接处无五金件（缝隙≤0.2mm）。表面哑光处理（光泽度20-40单位）。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非遗美食社-非遗美食操作台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主体框架：冷轧钢制异型框架，主承重梁为40×60×2mm镀锌矩形管（表面经喷砂除锈+环氧富锌底漆处理），横向加强筋为25×25×1.5mm方管阵列焊接，整体焊接后经振动时效处理消除内应力，静态承重≥300kg。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基层结构</w:t>
            </w:r>
            <w:r>
              <w:rPr>
                <w:rFonts w:hint="eastAsia" w:ascii="宋体" w:hAnsi="宋体" w:eastAsia="宋体" w:cs="宋体"/>
                <w:color w:val="auto"/>
                <w:sz w:val="20"/>
                <w:szCs w:val="20"/>
                <w:u w:val="none"/>
                <w:lang w:val="en-US" w:eastAsia="zh-CN" w:bidi="ar"/>
              </w:rPr>
              <w:t xml:space="preserve">：框架内嵌18mm厚橡木纹胶合层压基材（E0级环保标准），表面覆盖0.9mm厚聚酯改性铝复合饰面板（横向抗弯强度≥120MPa），侧板接缝处采用PUR封边工艺，实现气密性≤1.5m³/(m·h)。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台面系统：​台面为15mm厚矿物聚合台面（石英砂含量≥35%），表面经纳米氟碳涂层处理（耐盐雾性≥4000h），前沿设置3mm高防滑挡水条（EPDM材质），台面预埋五组IP44防护等级暗装插座（含防过载模块），呈黄金分割比例分布于操作区两侧及中央。</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功能细节：底部配置可调地脚（高度调节范围±15mm），侧板集成隐藏式走线槽（截面尺寸30×15mm），台面边缘倒角R5mm圆弧处理，尺寸2000×600×900mm（长×宽×高）。                                                                                </w:t>
            </w:r>
            <w:r>
              <w:rPr>
                <w:rFonts w:hint="eastAsia" w:ascii="宋体" w:hAnsi="宋体" w:eastAsia="宋体" w:cs="宋体"/>
                <w:color w:val="auto"/>
                <w:sz w:val="20"/>
                <w:szCs w:val="20"/>
                <w:u w:val="none"/>
                <w:lang w:val="en-US" w:eastAsia="zh-CN" w:bidi="ar"/>
              </w:rPr>
              <w:t xml:space="preserve">       冷轧钢板技术要求：检测依据参照:GB/T3325-2024《金属家具通用技术条件》QB/T 3832-1999《轻工产品金属镀层腐蚀试验结果的评价》QB/T 3827-1999《轻工产品金属镀层和化学处理层的耐腐蚀试验方法乙酸盐雾试验(ASS)法》GB/T 10125-2021《人造气氛腐蚀试验 盐雾试验》产品外观性能要求检测中金属件喷涂层，涂层应无漏喷、锈蚀和脱色、掉色现象，涂层应光滑均匀，色泽一致，应无流挂、疙瘩、皱皮、飞漆等缺陷。在产品表面涂饰层/覆面材料理化性能，金属喷漆(塑)涂层检测</w:t>
            </w:r>
            <w:r>
              <w:rPr>
                <w:rFonts w:hint="eastAsia" w:ascii="宋体" w:hAnsi="宋体" w:eastAsia="宋体" w:cs="宋体"/>
                <w:color w:val="auto"/>
                <w:sz w:val="20"/>
                <w:szCs w:val="20"/>
                <w:u w:val="none"/>
                <w:lang w:val="en-US" w:eastAsia="zh-CN" w:bidi="ar"/>
              </w:rPr>
              <w:t xml:space="preserve">中硬度≥H,冲击强度中，冲击高度400mm，应无剥落、裂纹、皱纹。耐腐蚀100h内，观察在溶液中样板上划道两侧3mm以外，应无鼓泡产生，100h后，检查划道两侧3mm外，应无锈迹、剥落、起皱、变色和失光等现象，附着力应不低于2级，金属电镀层抗盐雾检测中18h，直径1.5mm以下锈点≤20点/d㎡，其中直径≧1.0mm锈点不超过5点(距边缘棱角2mm以内的不计) （金属表面耐腐蚀中乙酸盐雾委托方要求连续喷雾 240 小时)，涂层本身的耐腐蚀等级:10级最好，0级最差，涂层对基体的保护等级:10级最好，0级最差</w:t>
            </w:r>
            <w:r>
              <w:rPr>
                <w:rFonts w:hint="eastAsia" w:ascii="宋体" w:hAnsi="宋体" w:eastAsia="宋体" w:cs="宋体"/>
                <w:b/>
                <w:bCs/>
                <w:color w:val="auto"/>
                <w:sz w:val="20"/>
                <w:szCs w:val="20"/>
                <w:u w:val="none"/>
                <w:lang w:val="en-US" w:eastAsia="zh-CN" w:bidi="ar"/>
              </w:rPr>
              <w:t xml:space="preserve"> </w:t>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投标文件中提供具有CMA标识的完整的冷轧钢板检测报告</w:t>
            </w:r>
            <w:r>
              <w:rPr>
                <w:rFonts w:hint="eastAsia" w:ascii="宋体" w:hAnsi="宋体" w:eastAsia="宋体" w:cs="宋体"/>
                <w:color w:val="auto"/>
                <w:sz w:val="20"/>
                <w:szCs w:val="20"/>
                <w:u w:val="none"/>
                <w:lang w:val="en-US" w:eastAsia="zh-CN" w:bidi="ar"/>
              </w:rPr>
              <w:t xml:space="preserve">，测试内容需完全符合参数要求，不得缺项、漏项，否则视为负偏离。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非遗美食社-遮光帘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采用碳化竹材，经过防霉、防蛀、高温烘干处理，甲醛释放量≤7mg/kg（符合GB18401-2010标准）。手工编织，表面可涂清漆或碳化处理，遮光率70%，耐光色牢度≥5级。轨道：6063-T5铝合金卷管，壁厚≥1.5mm，表面阳极氧化处理；拉珠系统</w:t>
            </w:r>
            <w:r>
              <w:rPr>
                <w:rFonts w:hint="eastAsia" w:ascii="宋体" w:hAnsi="宋体" w:eastAsia="宋体" w:cs="宋体"/>
                <w:color w:val="auto"/>
                <w:sz w:val="20"/>
                <w:szCs w:val="20"/>
                <w:u w:val="none"/>
                <w:lang w:val="en-US" w:eastAsia="zh-CN" w:bidi="ar"/>
              </w:rPr>
              <w:t xml:space="preserve">​：POM工程塑料拉珠，珠径4.5mm，珠距6mm；安装码​：需2-4个（每0.5米宽度配1个）。根据场景定制化主题图案。</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民乐社-顶部艺术装配</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主体支撑结构：采用镀锌钢制骨架（基材厚度≥1.2mm，横向间距≤1200mm），配套铝合金型材连接件（壁厚≥0.8mm，表面静电粉末喷涂膜厚≥60μm）。装饰层基材：9.5mm厚高密度纤维装饰板材（甲醛释放量≤0.05mg/m</w:t>
            </w:r>
            <w:r>
              <w:rPr>
                <w:rFonts w:hint="eastAsia" w:ascii="宋体" w:hAnsi="宋体" w:eastAsia="宋体" w:cs="宋体"/>
                <w:color w:val="auto"/>
                <w:sz w:val="20"/>
                <w:szCs w:val="20"/>
                <w:u w:val="none"/>
                <w:lang w:val="en-US" w:eastAsia="zh-CN" w:bidi="ar"/>
              </w:rPr>
              <w:t xml:space="preserve">³，依据气候箱法检测），表面覆盖复合纸面基材（内结合强度≥0.40MPa，符合GB/T 17657-2022标准）。局部定制实木配色铝方通饰面。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连接系统：配置不锈钢自攻螺钉（规格M4×15mm，头部沉入基材深度≥0.3mm），接缝处采用V型槽切割工艺（切割深度≥3mm，嵌填石膏基填缝剂后打磨至2m靠尺检测间隙≤2mm）。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防火性能：整体系统需通过小室燃烧法测试（燃烧性能等级A1级），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环保指标：挥发性有机物（TVOC）释放量≤0.3mg/m³（密闭空间72小时检测），重金属含量符合</w:t>
            </w:r>
            <w:r>
              <w:rPr>
                <w:rFonts w:hint="eastAsia" w:ascii="宋体" w:hAnsi="宋体" w:eastAsia="宋体" w:cs="宋体"/>
                <w:color w:val="ff0000"/>
                <w:sz w:val="20"/>
                <w:szCs w:val="20"/>
                <w:u w:val="none"/>
                <w:lang w:val="en-US" w:eastAsia="zh-CN" w:bidi="ar"/>
              </w:rPr>
              <w:t xml:space="preserve">GB 18584-2020</w:t>
            </w:r>
            <w:r>
              <w:rPr>
                <w:rFonts w:hint="eastAsia" w:ascii="宋体" w:hAnsi="宋体" w:eastAsia="宋体" w:cs="宋体"/>
                <w:color w:val="auto"/>
                <w:sz w:val="20"/>
                <w:szCs w:val="20"/>
                <w:u w:val="none"/>
                <w:lang w:val="en-US" w:eastAsia="zh-CN" w:bidi="ar"/>
              </w:rPr>
              <w:t xml:space="preserve">标准（铅、镉、铬等六项指标均≤90mg/kg）。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功能性验证：承重测试：静态载荷≥350kg/m²持续24小时，形变率≤0.5%。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抗震性能：通过GB 50981-2014标准模拟测试（地震加速度0.2g工况下无结构性位移）。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声学性能：500Hz频段混响时间≤1.2秒（依据GB/T 50076-2013实测）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配套辅材：吊顶悬挂组件：直径≥8mm镀锌钢索（破断拉力≥15kN）</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防震组件：邵氏硬度60±5的EPDM橡胶垫片（压缩永久变形≤15%）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密封材料：硅酮耐候胶（拉伸模量≥0.4MPa，符合GB/T 14683-2017标准）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民乐元素艺术装饰。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民乐社-灯光系统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定制超薄嵌入式光源体8W/㎡，光通量：≥3200lm，色温：4000K（自然光色）。显色指数：Ra≥92，防护等级：IP20。特性：低压24V供电，铝合金散热背板。安装方式：嵌入式。LED嵌入式筒灯6W/㎡，光通量：≥3200lm，色温：4000K（自然光色）。安装方式：嵌入式。LED虚光灯带8W/㎡，光通量：≥3200lm，色温：4000K（自然光色）。安装方式：隐藏嵌入式。</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隐蔽式线管系统：PVC线管：Φ20mm（阻燃级），电线规格：BV-2.5mm</w:t>
            </w:r>
            <w:r>
              <w:rPr>
                <w:rFonts w:hint="eastAsia" w:ascii="宋体" w:hAnsi="宋体" w:eastAsia="宋体" w:cs="宋体"/>
                <w:color w:val="auto"/>
                <w:sz w:val="20"/>
                <w:szCs w:val="20"/>
                <w:u w:val="none"/>
                <w:lang w:val="en-US" w:eastAsia="zh-CN" w:bidi="ar"/>
              </w:rPr>
              <w:t xml:space="preserve">²（国标），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接线盒：86型暗装（防水型），固定卡扣：尼龙材质（间距≤800mm。                                                         </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129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民乐社-民乐演奏地台</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1、信息参数：整体规格3000mm×800mm×250mm（长×宽×高），误差≤±2mm，承重能力：静态载荷≥200kg/m</w:t>
            </w:r>
            <w:r>
              <w:rPr>
                <w:rFonts w:hint="eastAsia" w:ascii="宋体" w:hAnsi="宋体" w:eastAsia="宋体" w:cs="宋体"/>
                <w:color w:val="auto"/>
                <w:sz w:val="20"/>
                <w:szCs w:val="20"/>
                <w:u w:val="none"/>
                <w:lang w:val="en-US" w:eastAsia="zh-CN" w:bidi="ar"/>
              </w:rPr>
              <w:t xml:space="preserve">²，动态载荷≥50kg/m²（含人员走动、设备移动）；基材结构采用钢结构框架（主梁壁厚≥2.5mm，抗弯强度≥18MPa），表层铺设18mm厚E1级胶合基材（甲醛释放量≤0.05mg/m³）。地台面层覆盖专业演奏地板，边缘做防滑收口。地插系统：预埋嵌入式地插，含三孔/两孔组合插座4处。</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民乐社-木制艺术造型展览板A</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1、信息参数：6000*2800mm，主体结构组件采用18mm实木多层基材，局部表面定制木质复合饰面结合高分子装饰层（厚度≥3mm，邵氏硬度60±5）。静态承重≥200kg/m</w:t>
            </w:r>
            <w:r>
              <w:rPr>
                <w:rFonts w:hint="eastAsia" w:ascii="宋体" w:hAnsi="宋体" w:eastAsia="宋体" w:cs="宋体"/>
                <w:color w:val="auto"/>
                <w:sz w:val="20"/>
                <w:szCs w:val="20"/>
                <w:u w:val="none"/>
                <w:lang w:val="en-US" w:eastAsia="zh-CN" w:bidi="ar"/>
              </w:rPr>
              <w:t xml:space="preserve">²（持续24小时形变率≤0.3%）。抗弯强度≥100MPa（依据GB/T 17657-2022三点弯曲试验）。下方表面覆盖复合纸面基材（内结合强度≥0.40MPa，符合GB/T 17657-2022标准）异形切割造型。环保木质地脚围板。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民乐社-木制艺术造型展览板B</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1、信息参数：1000*2800mm，基材采用木质龙骨结构（主龙骨间距≤400mm），表面覆盖"隔音毡"2mm厚隔声层（隔音量≥28dB）</w:t>
            </w:r>
            <w:r>
              <w:rPr>
                <w:rFonts w:hint="eastAsia" w:ascii="宋体" w:hAnsi="宋体" w:eastAsia="宋体" w:cs="宋体"/>
                <w:b/>
                <w:bCs/>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t xml:space="preserve">生态木吸音板（厚度15mm，密度≥0.85g/cm³），截面为137×20mm长城板造型，表面冲孔直径1.2mm，孔距3mm呈菱形排列，开孔率≥18%。背面复合黑色吸声薄毡（克重≥200g/㎡，防火A级），与墙面预留50mm空腔填充"青岩棉"阻燃吸音棉（密度32kg/m³，NRC≥0.95）。表面处理采用立体压花工艺（凹凸差0.8-1.5mm），喷涂水性哑光保护层（光泽度20-30GU，耐擦洗≥5000次）。环保木质地脚围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民乐社-乐器陈列艺术造型</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信息参数：6000*2800mm，主体结构组件采用18mm实木多层基材，表面定制木质复合饰面结合高分子装饰层（厚度≥3mm，邵氏硬度60±5）。静态承重≥200kg/m</w:t>
            </w:r>
            <w:r>
              <w:rPr>
                <w:rFonts w:hint="eastAsia" w:ascii="宋体" w:hAnsi="宋体" w:eastAsia="宋体" w:cs="宋体"/>
                <w:color w:val="auto"/>
                <w:sz w:val="20"/>
                <w:szCs w:val="20"/>
                <w:highlight w:val="none"/>
                <w:u w:val="none"/>
                <w:lang w:val="en-US" w:eastAsia="zh-CN" w:bidi="ar"/>
              </w:rPr>
              <w:t xml:space="preserve">²（持续24小时形变率≤0.3%）。抗弯强度≥100MPa（依据GB/T 17657-2022三点弯曲试验）。剥离强度≥120N/cm（纵向，GB/T 2791-1995标准）。环保木质地脚围板。</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照明及电气线路系统;强电线路敷设，采用聚氯乙烯绝缘护套管（Φ16mm）嵌墙暗敷，火线为低烟无卤辐照交联聚乙烯导体（截面积2.5mm²，色标为深蓝），零线为同材质浅蓝线，线芯绞合节距≤15mm，绝缘层厚度≥0.8mm。光源单元：有机半导体发光模组（OSL-TL03），单模组尺寸300×30mm，色温2850±200K（暖白），显色指数Ra≥97.5（CIE 1931标准），光通量≥2400lm/m。</w:t>
            </w:r>
            <w:r>
              <w:rPr>
                <w:rFonts w:hint="eastAsia" w:ascii="宋体" w:hAnsi="宋体" w:eastAsia="宋体" w:cs="宋体"/>
                <w:color w:val="auto"/>
                <w:sz w:val="20"/>
                <w:szCs w:val="20"/>
                <w:highlight w:val="none"/>
                <w:u w:val="none"/>
                <w:lang w:val="en-US" w:eastAsia="zh-CN" w:bidi="ar"/>
              </w:rPr>
              <w:br/>
            </w:r>
            <w:r>
              <w:rPr>
                <w:rFonts w:hint="eastAsia" w:ascii="宋体" w:hAnsi="宋体" w:eastAsia="宋体" w:cs="宋体"/>
                <w:color w:val="auto"/>
                <w:sz w:val="20"/>
                <w:szCs w:val="20"/>
                <w:highlight w:val="none"/>
                <w:u w:val="none"/>
                <w:lang w:val="en-US" w:eastAsia="zh-CN" w:bidi="ar"/>
              </w:rPr>
              <w:t xml:space="preserve">2、包含货物生产、运输、安装、调试。                                                                                            3、所有制作参照效果图</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58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民乐社-音响与扩音系统套装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1、信息参数：包含：便携式调音台：10路输入，4路立体声输出，支持均衡、混响。主音箱：功率1000W，频率响应45Hz-20kHz。无线麦克风系统：抗干扰强，有效距离50米。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613"/>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民乐社-民乐基础配置包套装</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1、信息参数：包含：乐谱架、五线谱黑板、乐器清洁套装。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民乐社-凳子</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规格尺寸：450×450×850cm                                               1、基材采用橡胶木实木，木材含水率8%～16%，甲醛释放量≤0.01mg/m</w:t>
            </w:r>
            <w:r>
              <w:rPr>
                <w:rFonts w:hint="eastAsia" w:ascii="宋体" w:hAnsi="宋体" w:eastAsia="宋体" w:cs="宋体"/>
                <w:color w:val="auto"/>
                <w:sz w:val="20"/>
                <w:szCs w:val="20"/>
                <w:u w:val="none"/>
                <w:lang w:val="en-US" w:eastAsia="zh-CN" w:bidi="ar"/>
              </w:rPr>
              <w:t xml:space="preserve">³，木材硬度端面≥6500N，弦面≥6300N，径面≥6100N，抗弯弹性模量≥11300MPa，</w:t>
            </w:r>
            <w:r>
              <w:rPr>
                <w:rFonts w:hint="eastAsia" w:ascii="宋体" w:hAnsi="宋体" w:eastAsia="宋体" w:cs="宋体"/>
                <w:color w:val="ff0000"/>
                <w:sz w:val="20"/>
                <w:szCs w:val="20"/>
                <w:u w:val="none"/>
                <w:lang w:val="en-US" w:eastAsia="zh-CN" w:bidi="ar"/>
              </w:rPr>
              <w:t xml:space="preserve">抑菌率≥99%</w:t>
            </w:r>
            <w:r>
              <w:rPr>
                <w:rFonts w:hint="eastAsia" w:ascii="宋体" w:hAnsi="宋体" w:eastAsia="宋体" w:cs="宋体"/>
                <w:color w:val="auto"/>
                <w:sz w:val="20"/>
                <w:szCs w:val="20"/>
                <w:u w:val="none"/>
                <w:lang w:val="en-US" w:eastAsia="zh-CN" w:bidi="ar"/>
              </w:rPr>
              <w:t xml:space="preserve">，防霉菌等级均为0级，符合</w:t>
            </w:r>
            <w:r>
              <w:rPr>
                <w:rFonts w:hint="eastAsia" w:ascii="宋体" w:hAnsi="宋体" w:eastAsia="宋体" w:cs="宋体"/>
                <w:color w:val="ff0000"/>
                <w:sz w:val="20"/>
                <w:szCs w:val="20"/>
                <w:u w:val="none"/>
                <w:lang w:val="en-US" w:eastAsia="zh-CN" w:bidi="ar"/>
              </w:rPr>
              <w:t xml:space="preserve">GB/T3324-2024</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GB/T35607-2024</w:t>
            </w:r>
            <w:r>
              <w:rPr>
                <w:rFonts w:hint="eastAsia" w:ascii="宋体" w:hAnsi="宋体" w:eastAsia="宋体" w:cs="宋体"/>
                <w:color w:val="auto"/>
                <w:sz w:val="20"/>
                <w:szCs w:val="20"/>
                <w:u w:val="none"/>
                <w:lang w:val="en-US" w:eastAsia="zh-CN" w:bidi="ar"/>
              </w:rPr>
              <w:t xml:space="preserve">、GB18580-2017</w:t>
            </w:r>
            <w:r>
              <w:rPr>
                <w:rFonts w:hint="eastAsia" w:ascii="宋体" w:hAnsi="宋体" w:eastAsia="宋体" w:cs="宋体"/>
                <w:color w:val="ff0000"/>
                <w:sz w:val="20"/>
                <w:szCs w:val="20"/>
                <w:u w:val="none"/>
                <w:lang w:val="en-US" w:eastAsia="zh-CN" w:bidi="ar"/>
              </w:rPr>
              <w:t xml:space="preserve">或GB18580-2025</w:t>
            </w:r>
            <w:r>
              <w:rPr>
                <w:rFonts w:hint="eastAsia" w:ascii="宋体" w:hAnsi="宋体" w:eastAsia="宋体" w:cs="宋体"/>
                <w:color w:val="auto"/>
                <w:sz w:val="20"/>
                <w:szCs w:val="20"/>
                <w:u w:val="none"/>
                <w:lang w:val="en-US" w:eastAsia="zh-CN" w:bidi="ar"/>
              </w:rPr>
              <w:t xml:space="preserve">、QB/T4371-2012、JC/T 2039-2010、GB/T 1927.10-2021检测标准。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油漆：采用环保水性底漆、面漆，VOC含量≤2g/L，甲醛含量≤5mg/kg，总铅含量未检出，可溶性重金属含量镉、铬、汞均未检出，乙二醇醚及醚酯总和含量未检出，苯系物总和含量未检出，烷基酚聚氧乙烯醚总和含量未检出，涂料中可溶性有害元素含量（锑(Sb)、砷(As)、钡(Ba)、镉(Cd)、铬(Cr)、铅(Pb)、汞(Hg)、硒(Se)）均未检出，</w:t>
            </w:r>
            <w:r>
              <w:rPr>
                <w:rFonts w:hint="eastAsia" w:ascii="宋体" w:hAnsi="宋体" w:eastAsia="宋体" w:cs="宋体"/>
                <w:color w:val="ff0000"/>
                <w:sz w:val="20"/>
                <w:szCs w:val="20"/>
                <w:u w:val="none"/>
                <w:lang w:val="en-US" w:eastAsia="zh-CN" w:bidi="ar"/>
              </w:rPr>
              <w:t xml:space="preserve">抗细菌性能抑菌率≥99%</w:t>
            </w:r>
            <w:r>
              <w:rPr>
                <w:rFonts w:hint="eastAsia" w:ascii="宋体" w:hAnsi="宋体" w:eastAsia="宋体" w:cs="宋体"/>
                <w:color w:val="auto"/>
                <w:sz w:val="20"/>
                <w:szCs w:val="20"/>
                <w:u w:val="none"/>
                <w:lang w:val="en-US" w:eastAsia="zh-CN" w:bidi="ar"/>
              </w:rPr>
              <w:t xml:space="preserve">，耐霉菌性能等级均为0级，漆膜硬度≥5H，挥发性有机化合物（VOC）未检出，符合GB 18581-2020、GB/T 23999-2009、HJ 2537-2014、GB/T 35602-2017、HG/T 3950-2007、GB/T 21866-2008、GB/T6739-2022、GB/T 1741-2020检测标准。</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809"/>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二胡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1、信息参数：红木琴筒，蟒皮蒙面，G3-D6音域，配金属琴轴。适用场景：独奏、合奏主旋律，红檀材质，高碳钢丝琴弦。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532"/>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琵琶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1、信息参数：4弦，面板为桐木，背板为红木，音域A2-e4，菠萝格，尺寸:约 89*28cm,重量:约 2.9kg。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64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古筝</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1、信息参数：21弦，音域为 D-d</w:t>
            </w:r>
            <w:r>
              <w:rPr>
                <w:rFonts w:hint="eastAsia" w:ascii="宋体" w:hAnsi="宋体" w:eastAsia="宋体" w:cs="宋体"/>
                <w:color w:val="auto"/>
                <w:sz w:val="20"/>
                <w:szCs w:val="20"/>
                <w:u w:val="none"/>
                <w:lang w:val="en-US" w:eastAsia="zh-CN" w:bidi="ar"/>
              </w:rPr>
              <w:t xml:space="preserve">³（D 调五声音阶），桐木面板，G调，音域G3-C6，转调方法主要有按弦变调和移柱变调两种，通过左手抑按筝弦控制弦的张力，或移动筝柱调节弦长来实现变调                                             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72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139</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竹笛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1、信息参数：6孔，C调/降B调，竹制，含校音器。产品调性:CDEFG调，铜铃，青苦竹材质，四年或以上竹龄，双插白铜接铜。黑白扎线。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jc w:val="center"/>
          <w:trHeight w:val="416"/>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140</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（学生级）</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1、信息参数：17簧，传统笙，音域G3-C6，含笙斗，音色甜美，演奏时除单音外，大都用二音、三音或四音配成和音，可演奏和声、复调，表现力强。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141</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民乐社-智能钢琴</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1.规格 119型或以上立式钢琴</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2.外观尺寸 长≥149cm，宽≥60cm，高≥119cm；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3.五金件 钢琴外观可见的五金件采用银色不易氧化的金属；顶盖铰链有加强筋的结构，能更稳定安全支撑顶盖。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4.外壳 哑光黑色，采用新型环保材料。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5.上门 上门板固定卡扣采用精密模具加工的高分子材料固定件（非弹簧结构），结构牢固，安全耐用；上门板内侧安装金属方管长梁，能防止上门板长时间受温湿度变化影响导致的变形，且方便上门板拆装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6.下门 采用下门边框装配结构，使下门板开合时避免与琴腿碰撞。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7.谱架 采用实木制作。谱架铰链有插销固定结构，使谱架在闭合时可通过插销固定，防止时间长了之后铰链松动导致谱架闭合不紧，从而影响键盘盖关闭受阻。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8.铁板工艺 翻砂工艺铸铁板。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9.铁板高度 ≥109.5cm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10.琴弦 圆形弦（截面为正圆形），镀锡防锈钢线；最大有效弦长不少于118cm，30#音有效弦长不小于94cm。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11.音板 采用寒带地区缓慢生长的鱼鳞松制作的实木音板；音板须有防开裂防变形的特殊工艺或结构。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12.肋木 使用与音板相同材质木材，数量不少于10根。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13.弦轴板 由15-17层坚硬的榉木交错压榨制成。</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14.弦码 采用多层榉木制作。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15.背柱 实木制作，五背柱设计，且背柱截面尺寸≥80*70mm；背柱整体严密牢固，无明显缝隙或粘贴痕迹。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16.键盘 键板采用不易变形的杨木层积材制作，含水率要求：6-12%；中座板采用椴木或杨木，含水率要求6-14%；使用铁粒代替传统铅粒配重，减少重金属使用，保证环保无污染。</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17.中盘 使用稳定不易变形的木材制作而成。除螺丝外中盘上面不加装任何金属加固或金属链接结构。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18.弦槌 要求用纯羊毛毡及鹅耳枥木制作。弦槌木芯采用数控设备成形，加以铆钉夹具装配，使弦槌整体更牢固。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19.击弦机木制部件 转击器、联动杆、制音杆要求使用鹅耳枥木制作；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20.击弦机顶杆 要求使用ABS材质的顶杆，顶杆轴架的粘合面底部增加藏胶槽，使组件装配更稳固，增加粘连的稳定性。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21.调节档 鹅耳枥木实木（非多层）制作的调节档，不得有金属包裹。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22.踏瓣系统 使用拉杆结构。结构装配稳定，不受环境因素影响而变形，保持长期稳定的状态。</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142</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民乐社-空调系统</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类型：壁挂式定频冷暖空调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匹数：2匹（制冷量3500W，制热量3850W+800W电辅热）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适用面积：单台覆盖15-22㎡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电源规格：220V单相电，50Hz，额定功率1.04kW</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循环风量：600m³/h</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噪音值：内机24-39dB(A)，外机51dB(A)</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冷媒类型：R22</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结构设计：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外壳材质：镀锌钢板+防锈涂层，耐酸碱腐蚀，适应高粉尘、高湿度环境。</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散热系统：全铜管冷凝器，翅片间距加密（3.2mm），散热效率提升20%。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防护等级：IPX4防水防尘，支持户外安装（需加装防雨罩）。</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冷媒配管：最大配管长度12米，室内外机最大落差8米，支持多台串联。</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遥控操作：支持有线遥控器，可远程开关机、调节模式、设定定时任务。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包含空调系统电气线路敷设：</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从配电箱（距离50米）引出独立回路，采用BV-3×2.5mm²铜芯线（火线红色、零线蓝色、地线黄绿双色），线管选用PVC阻燃管（直径20mm），暗敷于吊顶内，确保与照明线路分离。配电箱端配置16A双极空开（如ABB S200系列或施耐德Acti9）</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，并建议加装30mA漏电保护器（如正泰NXB-63）。线路走向需避开水源和高温区域，水平布线离地≥1.5m（棚面至墙面需要埋暗线处理，墙体刨沟恢复），垂直布线距墙角≥100mm。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插座与开关参数​：</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16A空调插座选用250V/16A三孔插座，面板材质为阻燃PC，内部铜件厚度≥0.6mm，插拔寿命≥1万次，防护等级IP20，接线端子为螺钉压接式（L/N/E标识清晰），需预埋86型暗盒。</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预留开关配置单极16A墙壁开关，额定电流16A，通断能力≥4000次，触点材质为银合金，面板阻燃等级UL94 V0，安装高度1.3m，与插座水平间距≥200mm。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民乐社-遮光帘</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1、信息参数：尺寸：2100×1800mm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类型：聚酯纤维涂层遮光卷帘</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尺寸规格：标准幅宽1500mm/1800mm/2000mm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高度范围：2000-3000mm（含10cm包边）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遮光率：70%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颜色：灰白色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材质：面料100%聚酯纤维，表面覆PVC涂层（厚度0.3-0.5mm）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辅料：铝合金静音轨道（壁厚1.2mm）、POM塑料拉珠、棉质布带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2、包含货物生产、运输、安装。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144</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社团活动基地公共区-艺术造型展览板</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1、信息参数：1400*2000mm，主体结构组件采用18mm实木多层基材，表面采用环保油漆，喷漆时需保持无尘空间，每道工序需充分干燥(通常24小时，含水率≤8%），（甲醛释放量≤0.025mg/m</w:t>
            </w:r>
            <w:r>
              <w:rPr>
                <w:rFonts w:hint="eastAsia" w:ascii="宋体" w:hAnsi="宋体" w:eastAsia="宋体" w:cs="宋体"/>
                <w:color w:val="auto"/>
                <w:sz w:val="20"/>
                <w:szCs w:val="20"/>
                <w:u w:val="none"/>
                <w:lang w:val="en-US" w:eastAsia="zh-CN" w:bidi="ar"/>
              </w:rPr>
              <w:t xml:space="preserve">³，气候箱法检测）。自办展示版面部件，饰面类型：三聚氰胺纸/木皮/喷绘布，压纹工艺：条纹（3cm/5cm宽）、方格、竹纹（误差≤±0.5mm），邵氏硬度：≥60 HA（GB/T 531.1），热压成型：温度180-220℃，压力≥8MPa。高分子涂层复合艺术雕刻装饰。艺术浅浮雕。异形艺术雕刻装饰。定制成品浮雕纹油画饰面板。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2、包含货物生产、运输、安装、调试。                                                                                          3、所有制作参照效果图</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社团活动基地公共区-底部轻质饰面</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1、信息参数：2mm复合卷材地板。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材质：聚氯乙烯。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产品结构：上下五层：UV涂层、印花彩膜层、0.45mm耐磨层、玻璃纤维稳定层、1.65mm密实层。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产品规格：产品2mm厚度，卷材，宽幅2米，长度20米，克重3.3±0.5千克每平方米。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性能要点：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外观质量：无裂纹、分层、断裂，无折皱、气泡、漏印、缺膜、图案变形，无明显套印偏差、色差、污染等缺陷；</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加热尺寸变化率：纵向≤0.40；横向≤0.40；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lang w:val="en-US" w:eastAsia="zh-CN"/>
              </w:rPr>
              <w:t xml:space="preserve">依据GB/T19889.3-2005标准进行</w:t>
            </w:r>
            <w:r>
              <w:rPr>
                <w:rFonts w:hint="eastAsia" w:ascii="宋体" w:hAnsi="宋体" w:eastAsia="宋体" w:cs="宋体"/>
                <w:color w:val="auto"/>
                <w:sz w:val="20"/>
                <w:szCs w:val="20"/>
                <w:lang w:eastAsia="zh-CN"/>
              </w:rPr>
              <w:t xml:space="preserve">PVC地板隔声性能</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PVC地板隔声性能≥24dB；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lang w:eastAsia="zh-CN"/>
              </w:rPr>
              <w:t xml:space="preserve">依据GB/T6739-2022标准</w:t>
            </w:r>
            <w:r>
              <w:rPr>
                <w:rFonts w:hint="eastAsia" w:ascii="宋体" w:hAnsi="宋体" w:eastAsia="宋体" w:cs="宋体"/>
                <w:color w:val="auto"/>
                <w:sz w:val="20"/>
                <w:szCs w:val="20"/>
                <w:lang w:val="en-US" w:eastAsia="zh-CN"/>
              </w:rPr>
              <w:t xml:space="preserve">进行</w:t>
            </w:r>
            <w:r>
              <w:rPr>
                <w:rFonts w:hint="eastAsia" w:ascii="宋体" w:hAnsi="宋体" w:eastAsia="宋体" w:cs="宋体"/>
                <w:color w:val="auto"/>
                <w:sz w:val="20"/>
                <w:szCs w:val="20"/>
                <w:lang w:eastAsia="zh-CN"/>
              </w:rPr>
              <w:t xml:space="preserve">PVC地板铅笔硬度</w:t>
            </w:r>
            <w:r>
              <w:rPr>
                <w:rFonts w:hint="eastAsia" w:ascii="宋体" w:hAnsi="宋体" w:eastAsia="宋体" w:cs="宋体"/>
                <w:color w:val="auto"/>
                <w:sz w:val="20"/>
                <w:szCs w:val="20"/>
                <w:lang w:val="en-US" w:eastAsia="zh-CN"/>
              </w:rPr>
              <w:t xml:space="preserve">试验</w:t>
            </w:r>
            <w:r>
              <w:rPr>
                <w:rFonts w:hint="eastAsia" w:ascii="宋体" w:hAnsi="宋体" w:eastAsia="宋体" w:cs="宋体"/>
                <w:color w:val="auto"/>
                <w:sz w:val="20"/>
                <w:szCs w:val="20"/>
                <w:lang w:eastAsia="zh-CN"/>
              </w:rPr>
              <w:t xml:space="preserve">，试验</w:t>
            </w:r>
            <w:r>
              <w:rPr>
                <w:rFonts w:hint="eastAsia" w:ascii="宋体" w:hAnsi="宋体" w:eastAsia="宋体" w:cs="宋体"/>
                <w:color w:val="auto"/>
                <w:sz w:val="20"/>
                <w:szCs w:val="20"/>
                <w:highlight w:val="none"/>
                <w:lang w:val="en-US" w:eastAsia="zh-CN"/>
              </w:rPr>
              <w:t xml:space="preserve">结果：</w:t>
            </w:r>
            <w:r>
              <w:rPr>
                <w:rFonts w:hint="eastAsia" w:ascii="宋体" w:hAnsi="宋体" w:eastAsia="宋体" w:cs="宋体"/>
                <w:i w:val="0"/>
                <w:iCs w:val="0"/>
                <w:color w:val="auto"/>
                <w:sz w:val="20"/>
                <w:szCs w:val="20"/>
                <w:u w:val="none"/>
                <w:lang w:val="en-US" w:eastAsia="zh-CN" w:bidi="ar"/>
              </w:rPr>
              <w:t xml:space="preserve">PVC地板铅笔硬度≥3B；</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w:t>
            </w:r>
            <w:r>
              <w:rPr>
                <w:rFonts w:hint="eastAsia" w:ascii="宋体" w:hAnsi="宋体" w:eastAsia="宋体" w:cs="宋体"/>
                <w:color w:val="auto"/>
                <w:sz w:val="20"/>
                <w:szCs w:val="20"/>
                <w:highlight w:val="none"/>
              </w:rPr>
              <w:t xml:space="preserve">依据GB/T2160</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-2008</w:t>
            </w:r>
            <w:r>
              <w:rPr>
                <w:rFonts w:hint="eastAsia" w:ascii="宋体" w:hAnsi="宋体" w:eastAsia="宋体" w:cs="宋体"/>
                <w:color w:val="auto"/>
                <w:sz w:val="20"/>
                <w:szCs w:val="20"/>
                <w:highlight w:val="none"/>
                <w:lang w:eastAsia="zh-CN"/>
              </w:rPr>
              <w:t xml:space="preserve">标准</w:t>
            </w:r>
            <w:r>
              <w:rPr>
                <w:rFonts w:hint="eastAsia" w:ascii="宋体" w:hAnsi="宋体" w:eastAsia="宋体" w:cs="宋体"/>
                <w:color w:val="auto"/>
                <w:sz w:val="20"/>
                <w:szCs w:val="20"/>
                <w:highlight w:val="none"/>
              </w:rPr>
              <w:t xml:space="preserve">化学品急性吸入毒性试验</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i w:val="0"/>
                <w:iCs w:val="0"/>
                <w:color w:val="auto"/>
                <w:sz w:val="20"/>
                <w:szCs w:val="20"/>
                <w:u w:val="none"/>
                <w:lang w:val="en-US" w:eastAsia="zh-CN" w:bidi="ar"/>
              </w:rPr>
              <w:t xml:space="preserve">试验结果对ICR小鼠的急性吸入LC50＞2000mg/ m</w:t>
            </w:r>
            <w:r>
              <w:rPr>
                <w:rFonts w:hint="eastAsia" w:ascii="宋体" w:hAnsi="宋体" w:eastAsia="宋体" w:cs="宋体"/>
                <w:color w:val="auto"/>
                <w:sz w:val="20"/>
                <w:szCs w:val="20"/>
                <w:u w:val="none"/>
                <w:lang w:val="en-US" w:eastAsia="zh-CN" w:bidi="ar"/>
              </w:rPr>
              <w:t xml:space="preserve">³。依据毒性分级，产品属于低毒级；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★依据GB/T11982.1-2015标准进行PVC地板焊接强度试验，试验结果：PVC地板焊接强度≥240；</w:t>
            </w:r>
            <w:r>
              <w:rPr>
                <w:rFonts w:hint="eastAsia" w:ascii="宋体" w:hAnsi="宋体" w:eastAsia="宋体" w:cs="宋体"/>
                <w:b/>
                <w:bCs/>
                <w:color w:val="ff0000"/>
                <w:sz w:val="20"/>
                <w:szCs w:val="20"/>
                <w:u w:val="none"/>
                <w:lang w:val="en-US" w:eastAsia="zh-CN" w:bidi="ar"/>
              </w:rPr>
              <w:t xml:space="preserve">★</w:t>
            </w:r>
            <w:r>
              <w:rPr>
                <w:rFonts w:hint="eastAsia" w:ascii="宋体" w:hAnsi="宋体" w:eastAsia="宋体" w:cs="宋体"/>
                <w:color w:val="ff0000"/>
                <w:sz w:val="20"/>
                <w:szCs w:val="20"/>
                <w:u w:val="none"/>
                <w:lang w:val="en-US" w:eastAsia="zh-CN" w:bidi="ar"/>
              </w:rPr>
              <w:t xml:space="preserve">投标文件中提供由具有CMA标识的完整的PVC地板检测报告</w:t>
            </w:r>
            <w:r>
              <w:rPr>
                <w:rFonts w:hint="eastAsia" w:ascii="宋体" w:hAnsi="宋体" w:eastAsia="宋体" w:cs="宋体"/>
                <w:color w:val="auto"/>
                <w:sz w:val="20"/>
                <w:szCs w:val="20"/>
                <w:u w:val="none"/>
                <w:lang w:val="en-US" w:eastAsia="zh-CN" w:bidi="ar"/>
              </w:rPr>
              <w:t xml:space="preserve">，测试内容需完全符合参数要求，不得缺项、漏项，否则视为负偏离。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平</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t>
            </w:r>
            <w:r/>
          </w:p>
        </w:tc>
      </w:tr>
      <w:tr>
        <w:trPr>
          <w:jc w:val="center"/>
          <w:trHeight w:val="155"/>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146</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社团活动基地公共区-卫生间整体改造</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一、拆除项目：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原隔断拆除</w:t>
            </w:r>
            <w:r>
              <w:rPr>
                <w:rFonts w:hint="eastAsia" w:ascii="宋体" w:hAnsi="宋体" w:eastAsia="宋体" w:cs="宋体"/>
                <w:color w:val="auto"/>
                <w:sz w:val="20"/>
                <w:szCs w:val="20"/>
                <w:u w:val="none"/>
                <w:lang w:val="en-US" w:eastAsia="zh-CN" w:bidi="ar"/>
              </w:rPr>
              <w:t xml:space="preserve">​</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材料：轻钢龙骨隔断框架（1.2m×0.6m，12mm厚防潮板）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工具：切割机、撬棍、防护网，断电断水后施工，垃圾外运至指定地点。</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原洗手台及水池拆除​</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材料：拆除台下盆底座（含水管接口）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工具：角磨机、手锤，检查下水管道是否堵塞，清理基层。</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二、新装设施​</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厕所隔断​</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材料：轻钢龙骨+防潮板（1.2m×0.6m，12mm厚）</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配件：不锈钢合页、门锁（带紧急开关）、防撞角码</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参数：隔断高度1.8m，门宽0.8m，底部离地150mm挡水条。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洗手台及台下盆​</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材料：人造石台面（600×450mm，厚度25mm）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配件：台下盆（PP材质，直径400mm）、冷热水龙头（节水型，DN15接口）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水路：PPR冷热水管（DN25，左热右冷，间距15cm），下水器（防臭存水弯，深度≥50mm）。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蹲便器及小便池​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蹲便器​：陶瓷一体式，带冲水阀（DN50接口），存水弯深度≥50mm。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小便池​：陶瓷一体式，存水弯深度≥50mm，防臭阀（DN25接口）。</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配件：感应冲水器。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三、水路系统改造​</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给水管​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材料：PPR管（冷水管DN25，热水管DN20，耐温≥95℃）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阀门：铜质角阀（DN15，耐压0.6MPa），水表（DN25）。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坡度：排水管坡度≥2%（坡向地漏）。</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材料：PVC-U双壁波纹管（DN110，环刚度≥8kN/m²）</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配件：45°斜三通、存水弯（水封深度≥50mm）。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排水坡度：主管道坡度≥1%，支管道≥0.5%。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四、排风系统​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排风机​</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型号：轴流式低噪音风机（功率50W，风量≥450m³/h，噪音≤40dB）。</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风管：镀锌钢板（厚度0.75mm，坡度1%）。</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风口：百叶风口（面积≥0.3m²，安装高度距顶板≤300mm）。</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补风系统​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进风口：外墙百叶（面积≥0.2m²），与排风量匹配。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控制：联动开关（排风开启时补风自动启动）。</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五、辅材及设备​</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防水工程​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材料：高分子丙纶防水卷材（厚度≥0.8mm），防水涂料（JS-II型）。</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工艺：基层处理→涂刷2遍防水→闭水试验（48小时）。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地面及墙面​</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地砖：防滑陶瓷砖（300×300mm，吸水率≤0.5%）。</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墙砖：釉面砖（300×450mm，耐污等级≥A级）。</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其他配件​</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密封胶：中性防霉硅酮胶（耐候性≥20年）。</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灯具：LED吸顶灯（功率18W，色温4000K）。</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五金：不锈钢毛巾架（φ38mm，承重≥5kg）。</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jc w:val="center"/>
          <w:trHeight w:val="2000"/>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147</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社团活动基地公共区-门套及原门处理</w:t>
            </w:r>
            <w:r/>
          </w:p>
        </w:tc>
        <w:tc>
          <w:tcPr>
            <w:shd w:val="clear" w:color="auto" w:fill="auto"/>
            <w:tcW w:w="5287"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1、信息参数：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旧门修复改色喷漆：原始钢质门及周边做保护。原始钢质门基层处理打磨，选用水性UV漆（固含量37.89%，密度1.06g/cm</w:t>
            </w:r>
            <w:r>
              <w:rPr>
                <w:rFonts w:hint="eastAsia" w:ascii="宋体" w:hAnsi="宋体" w:eastAsia="宋体" w:cs="宋体"/>
                <w:color w:val="auto"/>
                <w:sz w:val="20"/>
                <w:szCs w:val="20"/>
                <w:u w:val="none"/>
                <w:lang w:val="en-US" w:eastAsia="zh-CN" w:bidi="ar"/>
              </w:rPr>
              <w:t xml:space="preserve">³），确保环保性与附着力。底漆需为环氧富锌防锈漆（干膜厚度30-50μm），面漆为聚氨酯磁漆（干膜厚度40μm），颜色需与设计样板色差≤30%。</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门口修复：填补石膏+同色乳胶漆（与墙面颜色匹配）。</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定制门套系统​</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门套板：材质：25mm厚多层胶合板。</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颜色：胡桃木色，与门扇木皮同色系。</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厚度：门套线宽80mm（含防撞圆角设计）。</w:t>
            </w:r>
            <w:r>
              <w:rPr>
                <w:rFonts w:hint="eastAsia" w:ascii="宋体" w:hAnsi="宋体" w:eastAsia="宋体" w:cs="宋体"/>
                <w:color w:val="auto"/>
                <w:sz w:val="20"/>
                <w:szCs w:val="20"/>
                <w:u w:val="none"/>
                <w:lang w:val="en-US" w:eastAsia="zh-CN" w:bidi="ar"/>
              </w:rPr>
              <w:br/>
            </w:r>
            <w:r>
              <w:rPr>
                <w:rFonts w:hint="eastAsia" w:ascii="宋体" w:hAnsi="宋体" w:eastAsia="宋体" w:cs="宋体"/>
                <w:color w:val="auto"/>
                <w:sz w:val="20"/>
                <w:szCs w:val="20"/>
                <w:u w:val="none"/>
                <w:lang w:val="en-US" w:eastAsia="zh-CN" w:bidi="ar"/>
              </w:rPr>
              <w:t xml:space="preserve">2、包含货物生产、运输、铺装。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r>
      <w:tr>
        <w:trPr>
          <w:jc w:val="center"/>
          <w:trHeight w:val="1644"/>
        </w:trPr>
        <w:tc>
          <w:tcPr>
            <w:shd w:val="clear" w:color="auto" w:fill="auto"/>
            <w:tcW w:w="616" w:type="dxa"/>
            <w:vAlign w:val="center"/>
            <w:textDirection w:val="lrTb"/>
            <w:noWrap/>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148</w:t>
            </w:r>
            <w:r/>
          </w:p>
        </w:tc>
        <w:tc>
          <w:tcPr>
            <w:shd w:val="clear" w:color="auto" w:fill="auto"/>
            <w:tcW w:w="1287"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社团活动基地公共区-智能锁</w:t>
            </w:r>
            <w:r/>
          </w:p>
        </w:tc>
        <w:tc>
          <w:tcPr>
            <w:shd w:val="clear" w:color="auto" w:fill="auto"/>
            <w:tcW w:w="5287" w:type="dxa"/>
            <w:vAlign w:val="center"/>
            <w:textDirection w:val="lrTb"/>
            <w:noWrap w:val="false"/>
          </w:tcPr>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锁体结构：冷轧钢板面板+铝合金把手，适配门厚40-120mm，支持180°把手方向调节，兼容左/右开门。</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锁芯等级：直插式C级锁芯，五防锁体设计</w:t>
            </w: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供电方式：4节5号电池（续航8-12个月），配备Type-C应急供电接口，支持充电宝临时供电。</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解锁模块：半导体指纹识别（认假率&lt;0.001%），支持100组指纹/密码/IC卡存储，虚位密码功能（防窥视）</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5、远程管理：通过微信小程序生成一次性临时密码，支持远程授权开锁及操作记录查询。</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6、智能告警：实时推送撬锁、试错（5次失败锁定90秒）、低电量等异常状态至手机端。</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7、模式设置：独有“常开模式”，可设定时段允许自由进出。</w:t>
            </w:r>
            <w:r/>
          </w:p>
          <w:p>
            <w:pPr>
              <w:numPr>
                <w:ilvl w:val="0"/>
                <w:numId w:val="0"/>
              </w:numPr>
              <w:jc w:val="left"/>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lang w:val="en-US" w:eastAsia="zh-CN" w:bidi="ar"/>
              </w:rPr>
              <w:t xml:space="preserve">8、</w:t>
            </w:r>
            <w:r>
              <w:rPr>
                <w:rFonts w:hint="eastAsia" w:ascii="宋体" w:hAnsi="宋体" w:eastAsia="宋体" w:cs="宋体"/>
                <w:color w:val="auto"/>
                <w:sz w:val="20"/>
                <w:szCs w:val="20"/>
                <w:u w:val="none"/>
                <w:lang w:val="en-US" w:eastAsia="zh-CN" w:bidi="ar"/>
              </w:rPr>
              <w:t xml:space="preserve">包含货物生产、运输、铺装。</w:t>
            </w:r>
            <w:r/>
          </w:p>
        </w:tc>
        <w:tc>
          <w:tcPr>
            <w:shd w:val="clear" w:color="auto" w:fill="auto"/>
            <w:tcW w:w="754"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W w:w="793" w:type="dxa"/>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w:t>
            </w:r>
            <w:r/>
          </w:p>
        </w:tc>
      </w:tr>
    </w:tbl>
    <w:p>
      <w:pPr>
        <w:pStyle w:val="695"/>
        <w:jc w:val="both"/>
        <w:spacing w:beforeAutospacing="0" w:afterAutospacing="0"/>
        <w:rPr>
          <w:rFonts w:hint="eastAsia" w:ascii="宋体" w:hAnsi="宋体" w:eastAsia="宋体" w:cs="宋体"/>
          <w:i/>
          <w:color w:val="auto"/>
          <w:sz w:val="24"/>
          <w:szCs w:val="24"/>
          <w:highlight w:val="none"/>
          <w:u w:val="single"/>
          <w:shd w:val="clear" w:color="auto" w:fill="auto"/>
          <w:lang w:eastAsia="zh-CN"/>
        </w:rPr>
      </w:pPr>
      <w:r>
        <w:rPr>
          <w:rFonts w:hint="eastAsia" w:ascii="宋体" w:hAnsi="宋体" w:eastAsia="宋体" w:cs="宋体"/>
          <w:i/>
          <w:color w:val="auto"/>
          <w:sz w:val="24"/>
          <w:szCs w:val="24"/>
          <w:highlight w:val="none"/>
          <w:u w:val="single"/>
          <w:shd w:val="clear" w:color="auto" w:fill="auto"/>
          <w:lang w:eastAsia="zh-CN"/>
        </w:rPr>
      </w:r>
      <w:r/>
    </w:p>
    <w:p>
      <w:pPr>
        <w:pStyle w:val="695"/>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lang w:val="en-US" w:eastAsia="zh-CN"/>
        </w:rPr>
        <w:t xml:space="preserve">四</w:t>
      </w:r>
      <w:r>
        <w:rPr>
          <w:rFonts w:hint="eastAsia" w:ascii="宋体" w:hAnsi="宋体" w:eastAsia="宋体" w:cs="宋体"/>
          <w:i/>
          <w:color w:val="auto"/>
          <w:sz w:val="24"/>
          <w:szCs w:val="24"/>
          <w:highlight w:val="none"/>
          <w:u w:val="single"/>
          <w:shd w:val="clear" w:color="auto" w:fill="auto"/>
          <w:lang w:eastAsia="zh-CN"/>
        </w:rPr>
        <w:t xml:space="preserve">）</w:t>
      </w:r>
      <w:r>
        <w:rPr>
          <w:rFonts w:hint="eastAsia" w:ascii="宋体" w:hAnsi="宋体" w:eastAsia="宋体" w:cs="宋体"/>
          <w:i/>
          <w:color w:val="auto"/>
          <w:sz w:val="24"/>
          <w:szCs w:val="24"/>
          <w:highlight w:val="none"/>
          <w:u w:val="single"/>
          <w:shd w:val="clear" w:color="auto" w:fill="auto"/>
        </w:rPr>
        <w:t xml:space="preserve">本项目</w:t>
      </w:r>
      <w:r>
        <w:rPr>
          <w:rFonts w:hint="eastAsia" w:ascii="宋体" w:hAnsi="宋体" w:eastAsia="宋体" w:cs="宋体"/>
          <w:i/>
          <w:color w:val="auto"/>
          <w:sz w:val="24"/>
          <w:szCs w:val="24"/>
          <w:highlight w:val="none"/>
          <w:u w:val="single"/>
          <w:shd w:val="clear" w:color="auto" w:fill="auto"/>
          <w:lang w:val="en-US" w:eastAsia="zh-CN"/>
        </w:rPr>
        <w:t xml:space="preserve">不接受</w:t>
      </w:r>
      <w:r>
        <w:rPr>
          <w:rFonts w:hint="eastAsia" w:ascii="宋体" w:hAnsi="宋体" w:eastAsia="宋体" w:cs="宋体"/>
          <w:i/>
          <w:color w:val="auto"/>
          <w:sz w:val="24"/>
          <w:szCs w:val="24"/>
          <w:highlight w:val="none"/>
          <w:u w:val="single"/>
          <w:shd w:val="clear" w:color="auto" w:fill="auto"/>
        </w:rPr>
        <w:t xml:space="preserve">进口产品投标</w:t>
      </w:r>
      <w:r/>
    </w:p>
    <w:p>
      <w:pPr>
        <w:pStyle w:val="695"/>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674"/>
        <w:tblW w:w="867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4835"/>
        <w:gridCol w:w="2860"/>
      </w:tblGrid>
      <w:tr>
        <w:trPr>
          <w:jc w:val="center"/>
          <w:tblCellSpacing w:w="0" w:type="dxa"/>
        </w:trPr>
        <w:tc>
          <w:tcPr>
            <w:shd w:val="clear" w:color="auto" w:fill="auto"/>
            <w:tcW w:w="976"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序号</w:t>
            </w:r>
            <w:r/>
          </w:p>
        </w:tc>
        <w:tc>
          <w:tcPr>
            <w:shd w:val="clear" w:color="auto" w:fill="auto"/>
            <w:tcW w:w="4835"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采购标的</w:t>
            </w:r>
            <w:r/>
          </w:p>
        </w:tc>
        <w:tc>
          <w:tcPr>
            <w:shd w:val="clear" w:color="auto" w:fill="auto"/>
            <w:tcW w:w="2860"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rPr>
              <w:t xml:space="preserve">对应中小企业划分标准所属行业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书画社-顶部艺术装配</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书画社-灯光系统</w:t>
            </w:r>
            <w:r/>
          </w:p>
        </w:tc>
        <w:tc>
          <w:tcPr>
            <w:shd w:val="clear" w:color="auto" w:fill="auto"/>
            <w:tcW w:w="2860" w:type="dxa"/>
            <w:vAlign w:val="center"/>
            <w:textDirection w:val="lrTb"/>
            <w:noWrap w:val="false"/>
          </w:tcPr>
          <w:p>
            <w:pPr>
              <w:jc w:val="center"/>
              <w:keepLines w:val="0"/>
              <w:keepNext w:val="0"/>
              <w:widowControl/>
              <w:rPr>
                <w:rFonts w:hint="default" w:asciiTheme="majorEastAsia" w:hAnsiTheme="majorEastAsia" w:eastAsiaTheme="majorEastAsia" w:cstheme="majorEastAsia"/>
                <w:color w:val="auto"/>
                <w:sz w:val="22"/>
                <w:szCs w:val="22"/>
                <w:highlight w:val="none"/>
                <w:shd w:val="clear" w:color="auto" w:fill="auto"/>
                <w:lang w:val="en-US" w:eastAsia="zh-CN"/>
              </w:rPr>
              <w:suppressLineNumbers w:val="0"/>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书画社-木制艺术造型</w:t>
            </w:r>
            <w:r/>
          </w:p>
        </w:tc>
        <w:tc>
          <w:tcPr>
            <w:shd w:val="clear" w:color="auto" w:fill="auto"/>
            <w:tcW w:w="2860" w:type="dxa"/>
            <w:vAlign w:val="center"/>
            <w:textDirection w:val="lrTb"/>
            <w:noWrap w:val="false"/>
          </w:tcPr>
          <w:p>
            <w:pPr>
              <w:pStyle w:val="695"/>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书画社-木制艺术展览板</w:t>
            </w:r>
            <w:r/>
          </w:p>
        </w:tc>
        <w:tc>
          <w:tcPr>
            <w:shd w:val="clear" w:color="auto" w:fill="auto"/>
            <w:tcW w:w="2860" w:type="dxa"/>
            <w:vAlign w:val="center"/>
            <w:textDirection w:val="lrTb"/>
            <w:noWrap w:val="false"/>
          </w:tcPr>
          <w:p>
            <w:pPr>
              <w:pStyle w:val="695"/>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书画社-木制书法用具陈列区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书画社-中式仿古书画桌椅套装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书画社-桌面画架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书画社-学生级素描套装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书画社-书画专用护眼灯</w:t>
            </w:r>
            <w:r/>
          </w:p>
        </w:tc>
        <w:tc>
          <w:tcPr>
            <w:shd w:val="clear" w:color="auto" w:fill="auto"/>
            <w:tcW w:w="2860" w:type="dxa"/>
            <w:vAlign w:val="center"/>
            <w:textDirection w:val="lrTb"/>
            <w:noWrap w:val="false"/>
          </w:tcPr>
          <w:p>
            <w:pPr>
              <w:jc w:val="center"/>
              <w:keepLines w:val="0"/>
              <w:keepNext w:val="0"/>
              <w:pageBreakBefore w:val="0"/>
              <w:spacing w:beforeAutospacing="0" w:afterAutospacing="0" w:line="240" w:lineRule="auto"/>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书画社-毛笔套装（进阶级）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书画社-宣纸与毛边纸套装（进阶级）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91"/>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书画社-墨汁与砚台（进阶级）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35"/>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书画社-书画基础配置包套装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书画社-交互式书画桌系统（含书画椅）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bookmarkStart w:id="172" w:name="_Toc120614281"/>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书画社-遮光帘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书画社-底部轻质饰面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党校/团室/志愿者社团-会议椅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党校/团室/志愿者社团-置物架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党校/团室/志愿者社团-木质志愿者文化陈列区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党校/团室/志愿者社团-遮光帘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棋社-围棋象棋二合一棋盘套装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棋社-智能交互磁吸教学棋盘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棋社-电子棋钟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棋社-​棋盘清洁套装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棋社-智能对弈系统套装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棋社-传统中式棋艺椅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棋社-传统中式观棋椅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棋社-古典棋谱造型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无线麦克风</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无线教学扩声音箱</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棋社-遮光帘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发绣制作社-多功能储物柜</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发绣制作社-便携式绣架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发绣制作社-可调式刺绣台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发绣制作社-针线收纳盒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发绣制作社-发绣工作台套装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发绣制作社-发绣工作椅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发绣制作社-传统技艺百科知识系统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发绣制作社-发绣技艺基础配置包套装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发绣制作社-定制竹帘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非遗手工社-非遗手工基础配置包套装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非遗手工社-多功能操作台凳</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非遗手工社-多功能储物台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非遗手工社-陶艺拉坯机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非遗手工社-木刻刀套装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非遗手工社-电动雕刻机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非遗手工社-篆刻刀</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非遗手工社-印床</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非遗手工社-拓印工具包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非遗手工社-手摇缝纫机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非遗手工社-非遗文化智能交互系统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非遗手工社-艺术氛围展示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非遗手工社-定制竹帘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摄影社-木制艺术展览板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摄影社-入门级相机（学生级）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摄影社-艺术展示画框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摄影社-摄影幕布</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摄影社-洽谈桌</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摄影社-洽谈椅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摄影社-遮光帘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锡剧社-中式仿古座椅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锡剧社-中式花架</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锡剧社-木制艺术造型</w:t>
            </w:r>
            <w:r/>
          </w:p>
        </w:tc>
        <w:tc>
          <w:tcPr>
            <w:shd w:val="clear" w:color="auto" w:fill="auto"/>
            <w:tcW w:w="2860" w:type="dxa"/>
            <w:vAlign w:val="center"/>
            <w:textDirection w:val="lrTb"/>
            <w:noWrap w:val="false"/>
          </w:tcPr>
          <w:p>
            <w:pPr>
              <w:jc w:val="center"/>
              <w:spacing w:beforeAutospacing="0" w:afterAutospacing="0" w:line="0" w:lineRule="atLeast"/>
              <w:rPr>
                <w:rFonts w:hint="default"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锡剧社-锡剧舞台氛围展示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锡剧社-文化戏曲交互系统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软件和信息技术服务业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锡剧社-木制艺术展览板B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锡剧社-锡剧化妆台组合套装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锡剧社-移动舞台车</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锡剧社-锡剧基础配置包套装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锡剧社-定制竹帘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非遗美食社-木制艺术造型展览板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非遗美食社-厨房电子秤</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非遗美食社-量杯套装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非遗美食社-食品级清洁刷</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非遗美食社-​传统模具套装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非遗美食社-密封保鲜盒</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非遗美食社-小型高压锅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非遗美食社-小型绞肉机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非遗美食社-螺旋破碎榨汁机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非遗美食社-小型微波炉</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非遗美食社-多功能蒸煮一体机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非遗美食社-电炸锅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非遗美食社-和面机</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非遗美食社-传统石磨</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非遗美食社-仿古桌凳套装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非遗美食社-非遗美食操作台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非遗美食社-遮光帘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民乐社-顶部艺术装配</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民乐社-灯光系统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民乐社-民乐演奏地台</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90"/>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民乐社-木制艺术造型展览板A</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民乐社-木制艺术造型展览板B</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民乐社-乐器陈列艺术造型</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民乐社-音响与扩音系统套装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民乐社-民乐基础配置包套装</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民乐社-凳子</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民乐社-二胡（学生级）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民乐社-琵琶（学生级）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民乐社-古筝（学生级）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民乐社-竹笛（学生级）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民乐社-笙（学生级）</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民乐社-智能钢琴</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民乐社-空调系统</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民乐社-遮光帘</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社团活动基地公共区-艺术造型展览板</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社团活动基地公共区-底部轻质饰面</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社团活动基地公共区-卫生间整体改造</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社团活动基地公共区-门套及原门处理</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建筑业</w:t>
            </w:r>
            <w:r/>
          </w:p>
        </w:tc>
      </w:tr>
      <w:tr>
        <w:trPr>
          <w:jc w:val="center"/>
          <w:tblCellSpacing w:w="0" w:type="dxa"/>
          <w:trHeight w:val="222"/>
        </w:trPr>
        <w:tc>
          <w:tcPr>
            <w:shd w:val="clear" w:color="auto" w:fill="auto"/>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W w:w="4835"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none"/>
                <w:shd w:val="clear" w:color="auto" w:fill="auto"/>
              </w:rPr>
              <w:suppressLineNumbers w:val="0"/>
            </w:pPr>
            <w:r>
              <w:rPr>
                <w:rFonts w:hint="eastAsia" w:ascii="宋体" w:hAnsi="宋体" w:eastAsia="宋体" w:cs="宋体"/>
                <w:i w:val="0"/>
                <w:iCs w:val="0"/>
                <w:color w:val="000000"/>
                <w:sz w:val="22"/>
                <w:szCs w:val="22"/>
                <w:u w:val="none"/>
                <w:lang w:val="en-US" w:eastAsia="zh-CN" w:bidi="ar"/>
              </w:rPr>
              <w:t xml:space="preserve">社团活动基地公共区-智能锁</w:t>
            </w:r>
            <w:r/>
          </w:p>
        </w:tc>
        <w:tc>
          <w:tcPr>
            <w:shd w:val="clear" w:color="auto" w:fill="auto"/>
            <w:tcW w:w="2860" w:type="dxa"/>
            <w:vAlign w:val="center"/>
            <w:textDirection w:val="lrTb"/>
            <w:noWrap w:val="false"/>
          </w:tcPr>
          <w:p>
            <w:pPr>
              <w:jc w:val="center"/>
              <w:spacing w:beforeAutospacing="0" w:afterAutospacing="0" w:line="0" w:lineRule="atLeast"/>
              <w:rPr>
                <w:rFonts w:hint="eastAsia" w:asciiTheme="majorEastAsia" w:hAnsiTheme="majorEastAsia" w:eastAsiaTheme="majorEastAsia" w:cstheme="majorEastAsia"/>
                <w:color w:val="auto"/>
                <w:sz w:val="22"/>
                <w:szCs w:val="22"/>
                <w:highlight w:val="none"/>
                <w:shd w:val="clear" w:color="auto" w:fill="auto"/>
                <w:lang w:val="en-US" w:eastAsia="zh-CN"/>
              </w:rPr>
            </w:pPr>
            <w:r>
              <w:rPr>
                <w:rFonts w:hint="eastAsia" w:asciiTheme="majorEastAsia" w:hAnsiTheme="majorEastAsia" w:eastAsiaTheme="majorEastAsia" w:cstheme="majorEastAsia"/>
                <w:color w:val="auto"/>
                <w:sz w:val="22"/>
                <w:szCs w:val="22"/>
                <w:highlight w:val="none"/>
                <w:shd w:val="clear" w:color="auto" w:fill="auto"/>
                <w:lang w:val="en-US" w:eastAsia="zh-CN"/>
              </w:rPr>
              <w:t xml:space="preserve">工  业</w:t>
            </w:r>
            <w:r/>
          </w:p>
        </w:tc>
      </w:tr>
    </w:tbl>
    <w:p>
      <w:pPr>
        <w:pStyle w:val="69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ind w:firstLine="602"/>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9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55"/>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695"/>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95"/>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55"/>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注：本项目为货物类项目，货物应当全部由中小企业制造且使用该中小企业商号或者注册商标，方可享受中小企业扶持政策，不对其中涉及的工程承建商作出要求。</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95"/>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95"/>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95"/>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95"/>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95"/>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95"/>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9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74"/>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236"/>
        <w:gridCol w:w="1495"/>
        <w:gridCol w:w="993"/>
        <w:gridCol w:w="4838"/>
      </w:tblGrid>
      <w:tr>
        <w:trPr>
          <w:jc w:val="center"/>
          <w:trHeight w:val="574"/>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打分要求</w:t>
            </w:r>
            <w:r/>
          </w:p>
        </w:tc>
      </w:tr>
      <w:tr>
        <w:trPr>
          <w:jc w:val="center"/>
          <w:trHeight w:val="8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rPr>
            </w:pPr>
            <w:r>
              <w:rPr>
                <w:rFonts w:hint="eastAsia" w:ascii="宋体" w:hAnsi="宋体" w:eastAsia="宋体" w:cs="宋体"/>
                <w:b w:val="0"/>
                <w:bCs w:val="0"/>
                <w:color w:val="ff0000"/>
                <w:sz w:val="21"/>
                <w:szCs w:val="21"/>
                <w:highlight w:val="none"/>
                <w:lang w:val="en-US" w:eastAsia="zh-CN"/>
              </w:rPr>
              <w:t xml:space="preserve">32分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满足招标文件要求且投标价格最低的投标报价为基准价，其价格分为满分。报价得分=(评标基准价/投标报价)×32。</w:t>
            </w:r>
            <w:r/>
          </w:p>
        </w:tc>
      </w:tr>
      <w:tr>
        <w:trPr>
          <w:jc w:val="center"/>
          <w:trHeight w:val="90"/>
        </w:trPr>
        <w:tc>
          <w:tcPr>
            <w:tcBorders>
              <w:top w:val="single" w:color="auto" w:sz="4" w:space="0"/>
              <w:left w:val="single" w:color="auto" w:sz="4" w:space="0"/>
              <w:right w:val="single" w:color="auto" w:sz="4" w:space="0"/>
            </w:tcBorders>
            <w:tcW w:w="6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w:t>
            </w:r>
            <w:r/>
          </w:p>
        </w:tc>
        <w:tc>
          <w:tcPr>
            <w:tcBorders>
              <w:top w:val="single" w:color="auto" w:sz="4" w:space="0"/>
              <w:left w:val="single" w:color="auto" w:sz="4" w:space="0"/>
              <w:right w:val="single" w:color="auto" w:sz="4" w:space="0"/>
            </w:tcBorders>
            <w:tcW w:w="1236"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技术部分</w:t>
            </w:r>
            <w:r/>
          </w:p>
        </w:tc>
        <w:tc>
          <w:tcPr>
            <w:shd w:val="clear" w:color="auto" w:fill="auto"/>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响应情况</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ff0000"/>
                <w:sz w:val="21"/>
                <w:szCs w:val="21"/>
                <w:highlight w:val="none"/>
                <w:lang w:val="en-US" w:eastAsia="zh-CN" w:bidi="ar-SA"/>
              </w:rPr>
            </w:pPr>
            <w:r>
              <w:rPr>
                <w:rFonts w:hint="eastAsia" w:ascii="宋体" w:hAnsi="宋体" w:eastAsia="宋体" w:cs="宋体"/>
                <w:b w:val="0"/>
                <w:bCs w:val="0"/>
                <w:color w:val="ff0000"/>
                <w:sz w:val="21"/>
                <w:szCs w:val="21"/>
                <w:highlight w:val="none"/>
                <w:lang w:val="en-US" w:eastAsia="zh-CN"/>
              </w:rPr>
              <w:t xml:space="preserve">34分</w:t>
            </w:r>
            <w:r/>
          </w:p>
        </w:tc>
        <w:tc>
          <w:tcPr>
            <w:tcBorders>
              <w:top w:val="single" w:color="auto" w:sz="4" w:space="0"/>
              <w:left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对招标需求书的要求进行评审（基础分34分），完全满足招标文件要求的不扣分；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其中：标“★”指标为重点响应项，每发现一处负偏离扣2分，扣完为止。</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注：对于采购文件中需提供证明材料作为佐证的参数，供应商应按要求提供，否则视为负偏离。</w:t>
            </w:r>
            <w:r/>
          </w:p>
        </w:tc>
      </w:tr>
      <w:tr>
        <w:trPr>
          <w:jc w:val="center"/>
          <w:trHeight w:val="665"/>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对投标人提供售后服务人员社保、售后服务计划、售后服务响应时间、售后服务方式方面进行综合评审，无任何缺项得8分，有任意一缺项扣2分。</w:t>
            </w:r>
            <w:r/>
          </w:p>
        </w:tc>
      </w:tr>
      <w:tr>
        <w:trPr>
          <w:jc w:val="center"/>
          <w:trHeight w:val="781"/>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技术服务方案</w:t>
            </w:r>
            <w:r/>
          </w:p>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1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投标人提供的方案，需</w:t>
            </w:r>
            <w:r>
              <w:rPr>
                <w:rFonts w:hint="eastAsia" w:ascii="宋体" w:hAnsi="宋体" w:eastAsia="宋体" w:cs="宋体"/>
                <w:b w:val="0"/>
                <w:bCs w:val="0"/>
                <w:sz w:val="21"/>
                <w:szCs w:val="21"/>
              </w:rPr>
              <w:t xml:space="preserve">全面涵盖项目需求分析、服务内容规划、进度管理、质量管理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全面涵盖得8分，有任意一缺项扣2分，扣完为止。</w:t>
            </w:r>
            <w:r/>
          </w:p>
        </w:tc>
      </w:tr>
      <w:tr>
        <w:trPr>
          <w:jc w:val="center"/>
          <w:trHeight w:val="247"/>
        </w:trPr>
        <w:tc>
          <w:tcPr>
            <w:tcBorders>
              <w:left w:val="single" w:color="auto" w:sz="4" w:space="0"/>
              <w:right w:val="single" w:color="auto" w:sz="4" w:space="0"/>
            </w:tcBorders>
            <w:tcW w:w="6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left w:val="single" w:color="auto" w:sz="4" w:space="0"/>
              <w:right w:val="single" w:color="auto" w:sz="4" w:space="0"/>
            </w:tcBorders>
            <w:tcW w:w="1236"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项目实施方案</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（1）提供对于物流环节和货物到达现场后分配环节的控制方案得2分，不提供不得分。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（2）对照招标文件内的清单，提供相应产品的安装说明和使用说明得2分，不提供不得分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（3）根据项目实际情况，结合本次采购产品清单，为采购人推荐有效的安装布置方案得2分，不提供不得分。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（4）针对本项目的产品，制定确保安装、调试、验收环节的质量保证措施的方案得2分，不提供不得分。</w:t>
            </w:r>
            <w:r/>
          </w:p>
        </w:tc>
      </w:tr>
      <w:tr>
        <w:trPr>
          <w:jc w:val="center"/>
          <w:trHeight w:val="6764"/>
        </w:trPr>
        <w:tc>
          <w:tcPr>
            <w:tcBorders>
              <w:left w:val="single" w:color="auto" w:sz="4" w:space="0"/>
              <w:right w:val="single" w:color="auto" w:sz="4" w:space="0"/>
            </w:tcBorders>
            <w:tcW w:w="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p>
        </w:tc>
        <w:tc>
          <w:tcPr>
            <w:tcBorders>
              <w:left w:val="single" w:color="auto" w:sz="4" w:space="0"/>
              <w:right w:val="single" w:color="auto" w:sz="4" w:space="0"/>
            </w:tcBorders>
            <w:tcW w:w="123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商务部分</w:t>
            </w:r>
            <w:r/>
          </w:p>
        </w:tc>
        <w:tc>
          <w:tcPr>
            <w:tcBorders>
              <w:top w:val="single" w:color="auto" w:sz="4" w:space="0"/>
              <w:left w:val="single" w:color="auto" w:sz="4" w:space="0"/>
              <w:right w:val="single" w:color="auto" w:sz="4" w:space="0"/>
            </w:tcBorders>
            <w:tcW w:w="14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功能演示</w:t>
            </w:r>
            <w:r/>
          </w:p>
        </w:tc>
        <w:tc>
          <w:tcPr>
            <w:tcBorders>
              <w:top w:val="single" w:color="auto" w:sz="4" w:space="0"/>
              <w:left w:val="single" w:color="auto" w:sz="4" w:space="0"/>
              <w:right w:val="single" w:color="auto" w:sz="4" w:space="0"/>
            </w:tcBorders>
            <w:tcW w:w="9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483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发绣制作社-传统技艺百科知识软件系统演示：</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触摸屏报纸选择：支持读者在触摸屏上进行图书选择，图书列表的展现以最新的头版版面缩略图为导航。读者选择阅读某本图书，触摸屏通过“双页浏览”模式展现图书各版面缩略图，读者可通过触摸点击版面导航进行翻页操作，或通过触摸移动方式进行翻页阅读。（2分）</w:t>
            </w:r>
            <w:r/>
          </w:p>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版面需要有报纸,图书,期刊,视频,音频,党建网站,视频广告,公告新闻等模块。支持手机微信或者其它扫码方式直接扫二维码下载阅读报纸，期刊，图书，视频，音频文件到手机阅读。可以支持手机APP阅读和平板墨水屏阅读本阅读。（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锡剧社-文化戏曲交互软件系统演示：</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戏曲欣赏：丰富的戏曲欣赏内容，含有京剧、越剧、黄梅戏、评剧、豫剧，锡剧等精选经典曲目片段，海量资源，按类别分类，便于学习。（2分）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虚拟拍照：人脸追踪识别技术与戏曲的结合，通过数字互动，实现传统与科技的结合，有趣的表现形式，更能引起体验者的兴趣，更有利于戏曲的传播。（2分）</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数据统计：设备运转情况，数据分析；每月每周每日体验总人次数据图；五大戏剧独立的学习观看人次；互动体验人次；朋友圈分享数据；可以与第三方数据平台共享数据，实现数据嫁接。（2分）</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注：禁止使用多个软件叠加实现以上功能。</w:t>
            </w:r>
            <w:r/>
          </w:p>
          <w:p>
            <w:pPr>
              <w:numPr>
                <w:ilvl w:val="0"/>
                <w:numId w:val="0"/>
              </w:numPr>
              <w:jc w:val="left"/>
              <w:keepLines w:val="0"/>
              <w:keepNext w:val="0"/>
              <w:widowControl/>
              <w:rPr>
                <w:rFonts w:hint="eastAsia"/>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功能演示文件单个视频大小及格式符合系统要求。演示视频时间控制在10分钟以内。</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5"/>
        <w:jc w:val="center"/>
        <w:keepLines w:val="0"/>
        <w:keepNext/>
        <w:pageBreakBefore w:val="0"/>
        <w:spacing w:beforeAutospacing="0" w:after="313" w:afterAutospacing="0"/>
        <w:widowControl w:val="off"/>
        <w:rPr>
          <w:highlight w:val="none"/>
        </w:rPr>
      </w:pPr>
      <w:r>
        <w:rPr>
          <w:rFonts w:hint="eastAsia" w:ascii="黑体" w:hAnsi="宋体" w:eastAsia="黑体" w:cs="黑体"/>
          <w:color w:val="000000"/>
          <w:sz w:val="44"/>
          <w:szCs w:val="44"/>
          <w:highlight w:val="none"/>
        </w:rPr>
        <w:t xml:space="preserve"> </w:t>
      </w:r>
      <w:r/>
    </w:p>
    <w:p>
      <w:pPr>
        <w:pStyle w:val="695"/>
        <w:jc w:val="center"/>
        <w:spacing w:beforeAutospacing="0" w:afterAutospacing="0"/>
        <w:rPr>
          <w:highlight w:val="none"/>
        </w:rPr>
      </w:pPr>
      <w:r/>
      <w:bookmarkStart w:id="173" w:name="_Toc120614282"/>
      <w:r/>
      <w:bookmarkEnd w:id="173"/>
      <w:r/>
      <w:bookmarkStart w:id="174" w:name="_Toc49090576"/>
      <w:r/>
      <w:bookmarkEnd w:id="174"/>
      <w:r/>
      <w:bookmarkStart w:id="175" w:name="_Hlt26955039"/>
      <w:r/>
      <w:bookmarkStart w:id="176" w:name="_Hlt26671244"/>
      <w:r/>
      <w:bookmarkStart w:id="177" w:name="_Toc26554094"/>
      <w:r>
        <w:rPr>
          <w:rFonts w:hint="eastAsia" w:ascii="宋体" w:hAnsi="宋体" w:eastAsia="宋体" w:cs="宋体"/>
          <w:b/>
          <w:color w:val="000000"/>
          <w:sz w:val="72"/>
          <w:szCs w:val="72"/>
          <w:highlight w:val="none"/>
        </w:rPr>
        <w:t xml:space="preserve">投  标  文  件</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95"/>
        <w:jc w:val="both"/>
        <w:spacing w:beforeAutospacing="0" w:afterAutospacing="0"/>
        <w:rPr>
          <w:rFonts w:hint="default" w:eastAsia="宋体"/>
          <w:highlight w:val="none"/>
          <w:lang w:val="en-US" w:eastAsia="zh-CN"/>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b/>
          <w:color w:val="000000"/>
          <w:sz w:val="36"/>
          <w:szCs w:val="36"/>
          <w:highlight w:val="none"/>
          <w:u w:val="single"/>
          <w:lang w:val="en-US" w:eastAsia="zh-CN"/>
        </w:rPr>
        <w:t xml:space="preserve">      </w:t>
      </w:r>
      <w:r/>
    </w:p>
    <w:p>
      <w:pPr>
        <w:pStyle w:val="69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95"/>
        <w:jc w:val="center"/>
        <w:spacing w:beforeAutospacing="0" w:afterAutospacing="0" w:line="0" w:lineRule="atLeast"/>
        <w:rPr>
          <w:highlight w:val="none"/>
        </w:rPr>
      </w:pPr>
      <w:r>
        <w:rPr>
          <w:highlight w:val="none"/>
        </w:rPr>
        <w:t xml:space="preserve"> </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95"/>
        <w:ind w:left="0" w:firstLine="480"/>
        <w:jc w:val="both"/>
        <w:keepLines w:val="0"/>
        <w:keepNext w:val="0"/>
        <w:pageBreakBefore w:val="0"/>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八、投标函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695"/>
        <w:ind w:left="0" w:firstLine="480"/>
        <w:jc w:val="both"/>
        <w:keepLines w:val="0"/>
        <w:keepNext w:val="0"/>
        <w:pageBreakBefore w:val="0"/>
        <w:spacing w:beforeAutospacing="0" w:afterAutospacing="0" w:line="360" w:lineRule="auto"/>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69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695"/>
        <w:ind w:left="0" w:firstLine="480"/>
        <w:jc w:val="both"/>
        <w:keepLines w:val="0"/>
        <w:keepNext w:val="0"/>
        <w:pageBreakBefore w:val="0"/>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ind w:firstLine="480"/>
        <w:jc w:val="both"/>
        <w:spacing w:beforeAutospacing="0" w:afterAutospacing="0" w:line="0" w:lineRule="atLeast"/>
        <w:rPr>
          <w:highlight w:val="none"/>
        </w:rPr>
      </w:pPr>
      <w:r>
        <w:rPr>
          <w:highlight w:val="none"/>
        </w:rPr>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95"/>
        <w:ind w:firstLine="480"/>
        <w:jc w:val="both"/>
        <w:spacing w:beforeAutospacing="0" w:afterAutospacing="0" w:line="0" w:lineRule="atLeast"/>
        <w:rPr>
          <w:highlight w:val="none"/>
        </w:rPr>
      </w:pPr>
      <w:r>
        <w:rPr>
          <w:highlight w:val="none"/>
        </w:rPr>
        <w:t xml:space="preserve"> </w:t>
      </w:r>
      <w:r/>
    </w:p>
    <w:p>
      <w:pPr>
        <w:pStyle w:val="69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9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95"/>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95"/>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9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9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95"/>
        <w:jc w:val="center"/>
        <w:spacing w:beforeAutospacing="0" w:afterAutospacing="0"/>
        <w:rPr>
          <w:rFonts w:ascii="黑体" w:hAnsi="宋体" w:eastAsia="黑体" w:cs="黑体"/>
          <w:i/>
          <w:color w:val="000000"/>
          <w:sz w:val="32"/>
          <w:szCs w:val="32"/>
          <w:highlight w:val="none"/>
          <w:u w:val="single"/>
        </w:rPr>
      </w:pPr>
      <w:r/>
      <w:bookmarkStart w:id="178" w:name="_Toc120614284"/>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9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9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9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9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9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9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79" w:name="_Hlt26955070"/>
      <w:r/>
      <w:bookmarkStart w:id="180" w:name="_Hlt26671380"/>
      <w:r/>
      <w:bookmarkStart w:id="181" w:name="_格式3__银行出具的资信证明"/>
      <w:r>
        <w:rPr>
          <w:rFonts w:ascii="Times New Roman" w:hAnsi="Times New Roman"/>
          <w:color w:val="000000"/>
          <w:highlight w:val="none"/>
          <w:u w:val="single"/>
        </w:rPr>
        <w:t xml:space="preserve">                                         </w:t>
      </w:r>
      <w:r/>
    </w:p>
    <w:p>
      <w:pPr>
        <w:pStyle w:val="695"/>
        <w:ind w:firstLine="420"/>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line="0" w:lineRule="atLeast"/>
        <w:rPr>
          <w:highlight w:val="none"/>
          <w:shd w:val="clear" w:color="auto" w:fill="auto"/>
        </w:rPr>
      </w:pPr>
      <w:r>
        <w:rPr>
          <w:highlight w:val="none"/>
          <w:shd w:val="clear" w:color="auto" w:fill="auto"/>
        </w:rPr>
        <w:t xml:space="preserve"> </w:t>
      </w:r>
      <w:r/>
    </w:p>
    <w:p>
      <w:pPr>
        <w:pStyle w:val="695"/>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695"/>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695"/>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695"/>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695"/>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江苏省东台中学</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9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9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t xml:space="preserve"> </w:t>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r>
      <w:r/>
    </w:p>
    <w:p>
      <w:pPr>
        <w:pStyle w:val="695"/>
        <w:ind w:firstLine="240"/>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江苏省东台中学</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9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9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9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95"/>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695"/>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695"/>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95"/>
        <w:ind w:firstLine="480"/>
        <w:jc w:val="both"/>
        <w:spacing w:beforeAutospacing="0" w:afterAutospacing="0" w:line="0" w:lineRule="atLeast"/>
        <w:rPr>
          <w:highlight w:val="none"/>
        </w:rPr>
      </w:pPr>
      <w:r>
        <w:rPr>
          <w:highlight w:val="none"/>
        </w:rPr>
        <w:t xml:space="preserve"> </w:t>
      </w:r>
      <w:r/>
    </w:p>
    <w:p>
      <w:pPr>
        <w:pStyle w:val="6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95"/>
        <w:ind w:firstLine="624"/>
        <w:jc w:val="both"/>
        <w:spacing w:beforeAutospacing="0" w:afterAutospacing="0" w:line="0" w:lineRule="atLeast"/>
        <w:rPr>
          <w:highlight w:val="none"/>
        </w:rPr>
      </w:pPr>
      <w:r>
        <w:rPr>
          <w:highlight w:val="none"/>
        </w:rPr>
        <w:t xml:space="preserve"> </w:t>
      </w:r>
      <w:r/>
    </w:p>
    <w:p>
      <w:pPr>
        <w:pStyle w:val="69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9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line="0" w:lineRule="atLeast"/>
        <w:rPr>
          <w:highlight w:val="none"/>
        </w:rPr>
      </w:pPr>
      <w:r>
        <w:rPr>
          <w:highlight w:val="none"/>
        </w:rPr>
        <w:t xml:space="preserve"> </w:t>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67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5"/>
              <w:jc w:val="both"/>
              <w:spacing w:beforeAutospacing="0" w:afterAutospacing="0"/>
              <w:rPr>
                <w:highlight w:val="none"/>
              </w:rPr>
            </w:pPr>
            <w:r>
              <w:rPr>
                <w:highlight w:val="none"/>
              </w:rPr>
              <w:t xml:space="preserve"> </w:t>
            </w:r>
            <w:r/>
          </w:p>
        </w:tc>
      </w:tr>
    </w:tbl>
    <w:p>
      <w:pPr>
        <w:pStyle w:val="695"/>
        <w:jc w:val="both"/>
        <w:spacing w:beforeAutospacing="0" w:afterAutospacing="0"/>
        <w:rPr>
          <w:highlight w:val="none"/>
          <w:shd w:val="clear" w:color="auto" w:fill="auto"/>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695"/>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pStyle w:val="695"/>
        <w:jc w:val="both"/>
        <w:spacing w:beforeAutospacing="0" w:afterAutospacing="0"/>
        <w:rPr>
          <w:highlight w:val="none"/>
          <w:shd w:val="clear" w:color="auto" w:fill="auto"/>
        </w:rPr>
      </w:pPr>
      <w:r>
        <w:rPr>
          <w:highlight w:val="none"/>
          <w:shd w:val="clear" w:color="auto" w:fill="auto"/>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w:t>
      </w:r>
      <w:r/>
    </w:p>
    <w:tbl>
      <w:tblPr>
        <w:tblStyle w:val="6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bl>
    <w:p>
      <w:pPr>
        <w:pStyle w:val="69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pStyle w:val="695"/>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82" w:name="_Hlt26955054"/>
      <w:r>
        <w:rPr>
          <w:rFonts w:hint="eastAsia" w:ascii="黑体" w:hAnsi="宋体" w:eastAsia="黑体" w:cs="黑体"/>
          <w:b/>
          <w:color w:val="000000"/>
          <w:sz w:val="32"/>
          <w:szCs w:val="32"/>
          <w:highlight w:val="none"/>
        </w:rPr>
        <w:br w:type="page" w:clear="all"/>
      </w:r>
      <w:r/>
    </w:p>
    <w:p>
      <w:pPr>
        <w:pStyle w:val="69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w:t>
      </w:r>
      <w:r/>
    </w:p>
    <w:tbl>
      <w:tblPr>
        <w:tblStyle w:val="67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bookmarkStart w:id="183" w:name="_Hlt26671372"/>
            <w:r/>
            <w:bookmarkStart w:id="184" w:name="_Hlt26955064"/>
            <w:r/>
            <w:bookmarkStart w:id="185" w:name="_Hlt26609391"/>
            <w:r/>
            <w:bookmarkStart w:id="186" w:name="_Hlt24879081"/>
            <w:r/>
            <w:bookmarkStart w:id="187" w:name="_Hlt26580838"/>
            <w:r/>
            <w:bookmarkStart w:id="188" w:name="_Hlt26955056"/>
            <w:r/>
            <w:bookmarkStart w:id="189" w:name="_Hlt26671343"/>
            <w:r/>
            <w:bookmarkStart w:id="190" w:name="_Hlt26782999"/>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5"/>
              <w:jc w:val="center"/>
              <w:spacing w:beforeAutospacing="0" w:afterAutospacing="0"/>
              <w:rPr>
                <w:highlight w:val="none"/>
              </w:rPr>
            </w:pPr>
            <w:r>
              <w:rPr>
                <w:highlight w:val="none"/>
              </w:rPr>
              <w:t xml:space="preserve"> </w:t>
            </w:r>
            <w:r/>
          </w:p>
        </w:tc>
      </w:tr>
    </w:tbl>
    <w:p>
      <w:pPr>
        <w:pStyle w:val="69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5"/>
        <w:jc w:val="both"/>
        <w:spacing w:beforeAutospacing="0" w:afterAutospacing="0" w:line="480" w:lineRule="auto"/>
        <w:rPr>
          <w:highlight w:val="none"/>
        </w:rPr>
      </w:pPr>
      <w:r>
        <w:rPr>
          <w:highlight w:val="none"/>
        </w:rPr>
        <w:t xml:space="preserve"> </w:t>
      </w:r>
      <w:r/>
    </w:p>
    <w:p>
      <w:pPr>
        <w:pStyle w:val="695"/>
        <w:jc w:val="both"/>
        <w:spacing w:beforeAutospacing="0" w:afterAutospacing="0" w:line="480" w:lineRule="auto"/>
        <w:rPr>
          <w:highlight w:val="none"/>
        </w:rPr>
      </w:pPr>
      <w:r>
        <w:rPr>
          <w:highlight w:val="none"/>
        </w:rPr>
        <w:t xml:space="preserve"> </w:t>
      </w:r>
      <w:r/>
    </w:p>
    <w:p>
      <w:pPr>
        <w:pStyle w:val="695"/>
        <w:jc w:val="center"/>
        <w:spacing w:beforeAutospacing="0" w:afterAutospacing="0"/>
        <w:rPr>
          <w:highlight w:val="none"/>
        </w:rPr>
      </w:pPr>
      <w:r/>
      <w:bookmarkStart w:id="191" w:name="_格式2__法定代表人授权书"/>
      <w:r/>
      <w:bookmarkStart w:id="192" w:name="_Hlt26955066"/>
      <w:r/>
      <w:bookmarkStart w:id="193" w:name="_Hlt26671374"/>
      <w:r/>
      <w:bookmarkStart w:id="194" w:name="_Toc462564146"/>
      <w:r/>
      <w:bookmarkStart w:id="195" w:name="_Hlt26609389"/>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pStyle w:val="695"/>
        <w:jc w:val="center"/>
        <w:spacing w:beforeAutospacing="0" w:afterAutospacing="0"/>
        <w:rPr>
          <w:highlight w:val="none"/>
        </w:rPr>
      </w:pPr>
      <w:r>
        <w:rPr>
          <w:highlight w:val="none"/>
        </w:rPr>
        <w:t xml:space="preserve"> </w:t>
      </w:r>
      <w:r/>
    </w:p>
    <w:p>
      <w:pPr>
        <w:rPr>
          <w:rFonts w:hint="eastAsia" w:ascii="黑体" w:hAnsi="宋体" w:eastAsia="黑体" w:cs="黑体"/>
          <w:b/>
          <w:i/>
          <w:color w:val="ff0000"/>
          <w:sz w:val="32"/>
          <w:szCs w:val="32"/>
          <w:highlight w:val="none"/>
          <w:u w:val="single"/>
        </w:rPr>
      </w:pPr>
      <w:r>
        <w:rPr>
          <w:rFonts w:hint="eastAsia" w:ascii="黑体" w:hAnsi="宋体" w:eastAsia="黑体" w:cs="黑体"/>
          <w:b/>
          <w:i/>
          <w:color w:val="ff0000"/>
          <w:sz w:val="32"/>
          <w:szCs w:val="32"/>
          <w:highlight w:val="none"/>
          <w:u w:val="single"/>
        </w:rPr>
        <w:br w:type="page" w:clear="all"/>
      </w:r>
      <w:r/>
    </w:p>
    <w:p>
      <w:pPr>
        <w:pStyle w:val="695"/>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十五、开标一览表</w:t>
      </w:r>
      <w:r/>
    </w:p>
    <w:p>
      <w:pPr>
        <w:pStyle w:val="695"/>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9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7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5"/>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5"/>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5"/>
              <w:spacing w:beforeAutospacing="0" w:afterAutospacing="0" w:line="0" w:lineRule="atLeast"/>
              <w:rPr>
                <w:highlight w:val="none"/>
              </w:rPr>
            </w:pPr>
            <w:r>
              <w:rPr>
                <w:highlight w:val="none"/>
              </w:rPr>
              <w:t xml:space="preserve"> </w:t>
            </w:r>
            <w:r/>
          </w:p>
        </w:tc>
      </w:tr>
    </w:tbl>
    <w:p>
      <w:pPr>
        <w:pStyle w:val="695"/>
        <w:jc w:val="both"/>
        <w:spacing w:beforeAutospacing="0" w:afterAutospacing="0"/>
        <w:rPr>
          <w:highlight w:val="none"/>
        </w:rPr>
      </w:pPr>
      <w:r>
        <w:rPr>
          <w:highlight w:val="none"/>
        </w:rPr>
        <w:t xml:space="preserve"> </w:t>
      </w:r>
      <w:r/>
    </w:p>
    <w:p>
      <w:pPr>
        <w:pStyle w:val="695"/>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95"/>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十六、技术方案、服务承诺、培训承诺等</w:t>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2"/>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p>
    <w:p>
      <w:pPr>
        <w:pStyle w:val="695"/>
        <w:jc w:val="center"/>
        <w:spacing w:beforeAutospacing="0" w:afterAutospacing="0"/>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9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9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9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9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9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5"/>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MS Gothic">
    <w:panose1 w:val="020B060907020508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7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4">
    <w:name w:val="Heading 1"/>
    <w:basedOn w:val="663"/>
    <w:next w:val="663"/>
    <w:link w:val="702"/>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6">
    <w:name w:val="Heading 3"/>
    <w:basedOn w:val="663"/>
    <w:next w:val="663"/>
    <w:link w:val="704"/>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05"/>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06"/>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07"/>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09"/>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10"/>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Body Text First Indent"/>
    <w:basedOn w:val="676"/>
    <w:uiPriority w:val="0"/>
    <w:qFormat/>
    <w:pPr>
      <w:ind w:firstLine="200"/>
      <w:spacing w:line="360" w:lineRule="auto"/>
    </w:pPr>
    <w:rPr>
      <w:rFonts w:ascii="仿宋_GB2312" w:eastAsia="仿宋_GB2312"/>
      <w:sz w:val="30"/>
      <w:szCs w:val="30"/>
    </w:rPr>
  </w:style>
  <w:style w:type="paragraph" w:styleId="676">
    <w:name w:val="Body Text"/>
    <w:basedOn w:val="663"/>
    <w:uiPriority w:val="0"/>
    <w:unhideWhenUsed/>
    <w:qFormat/>
    <w:pPr>
      <w:spacing w:after="120"/>
    </w:pPr>
    <w:rPr>
      <w:rFonts w:ascii="Calibri" w:hAnsi="Calibri"/>
      <w:szCs w:val="22"/>
    </w:rPr>
  </w:style>
  <w:style w:type="paragraph" w:styleId="677">
    <w:name w:val="toc 7"/>
    <w:basedOn w:val="663"/>
    <w:next w:val="663"/>
    <w:uiPriority w:val="39"/>
    <w:unhideWhenUsed/>
    <w:qFormat/>
    <w:pPr>
      <w:ind w:left="1701" w:right="0" w:firstLine="0"/>
      <w:spacing w:after="57"/>
    </w:pPr>
  </w:style>
  <w:style w:type="paragraph" w:styleId="678">
    <w:name w:val="Caption"/>
    <w:basedOn w:val="663"/>
    <w:next w:val="66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9">
    <w:name w:val="annotation text"/>
    <w:basedOn w:val="663"/>
    <w:uiPriority w:val="0"/>
    <w:qFormat/>
    <w:pPr>
      <w:jc w:val="left"/>
    </w:pPr>
  </w:style>
  <w:style w:type="paragraph" w:styleId="680">
    <w:name w:val="toc 5"/>
    <w:basedOn w:val="663"/>
    <w:next w:val="663"/>
    <w:uiPriority w:val="39"/>
    <w:unhideWhenUsed/>
    <w:qFormat/>
    <w:pPr>
      <w:ind w:left="1134" w:right="0" w:firstLine="0"/>
      <w:spacing w:after="57"/>
    </w:pPr>
  </w:style>
  <w:style w:type="paragraph" w:styleId="681">
    <w:name w:val="toc 3"/>
    <w:basedOn w:val="663"/>
    <w:next w:val="663"/>
    <w:uiPriority w:val="39"/>
    <w:unhideWhenUsed/>
    <w:qFormat/>
    <w:pPr>
      <w:ind w:left="567" w:right="0" w:firstLine="0"/>
      <w:spacing w:after="57"/>
    </w:pPr>
  </w:style>
  <w:style w:type="paragraph" w:styleId="682">
    <w:name w:val="Plain Text"/>
    <w:basedOn w:val="663"/>
    <w:uiPriority w:val="0"/>
    <w:unhideWhenUsed/>
    <w:qFormat/>
    <w:rPr>
      <w:rFonts w:ascii="宋体" w:hAnsi="Courier New" w:cs="Courier New"/>
      <w:szCs w:val="21"/>
    </w:rPr>
  </w:style>
  <w:style w:type="paragraph" w:styleId="683">
    <w:name w:val="toc 8"/>
    <w:basedOn w:val="663"/>
    <w:next w:val="663"/>
    <w:uiPriority w:val="39"/>
    <w:unhideWhenUsed/>
    <w:qFormat/>
    <w:pPr>
      <w:ind w:left="1984" w:right="0" w:firstLine="0"/>
      <w:spacing w:after="57"/>
    </w:pPr>
  </w:style>
  <w:style w:type="paragraph" w:styleId="684">
    <w:name w:val="endnote text"/>
    <w:basedOn w:val="663"/>
    <w:link w:val="848"/>
    <w:uiPriority w:val="99"/>
    <w:semiHidden/>
    <w:unhideWhenUsed/>
    <w:qFormat/>
    <w:pPr>
      <w:spacing w:after="0" w:line="240" w:lineRule="auto"/>
    </w:pPr>
    <w:rPr>
      <w:sz w:val="20"/>
    </w:rPr>
  </w:style>
  <w:style w:type="paragraph" w:styleId="685">
    <w:name w:val="Footer"/>
    <w:basedOn w:val="663"/>
    <w:link w:val="852"/>
    <w:uiPriority w:val="0"/>
    <w:qFormat/>
    <w:pPr>
      <w:jc w:val="left"/>
      <w:tabs>
        <w:tab w:val="center" w:pos="4153" w:leader="none"/>
        <w:tab w:val="right" w:pos="8306" w:leader="none"/>
      </w:tabs>
    </w:pPr>
    <w:rPr>
      <w:sz w:val="18"/>
      <w:szCs w:val="18"/>
    </w:rPr>
  </w:style>
  <w:style w:type="paragraph" w:styleId="686">
    <w:name w:val="Header"/>
    <w:basedOn w:val="663"/>
    <w:link w:val="851"/>
    <w:uiPriority w:val="0"/>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63"/>
    <w:next w:val="663"/>
    <w:uiPriority w:val="39"/>
    <w:unhideWhenUsed/>
    <w:qFormat/>
    <w:pPr>
      <w:ind w:left="0" w:right="0" w:firstLine="0"/>
      <w:spacing w:after="57"/>
    </w:pPr>
  </w:style>
  <w:style w:type="paragraph" w:styleId="688">
    <w:name w:val="toc 4"/>
    <w:basedOn w:val="663"/>
    <w:next w:val="663"/>
    <w:uiPriority w:val="39"/>
    <w:unhideWhenUsed/>
    <w:qFormat/>
    <w:pPr>
      <w:ind w:left="850" w:right="0" w:firstLine="0"/>
      <w:spacing w:after="57"/>
    </w:pPr>
  </w:style>
  <w:style w:type="paragraph" w:styleId="689">
    <w:name w:val="Subtitle"/>
    <w:basedOn w:val="663"/>
    <w:next w:val="663"/>
    <w:link w:val="714"/>
    <w:uiPriority w:val="11"/>
    <w:qFormat/>
    <w:pPr>
      <w:spacing w:before="200" w:after="200"/>
    </w:pPr>
    <w:rPr>
      <w:sz w:val="24"/>
      <w:szCs w:val="24"/>
    </w:rPr>
  </w:style>
  <w:style w:type="paragraph" w:styleId="690">
    <w:name w:val="footnote text"/>
    <w:basedOn w:val="663"/>
    <w:link w:val="847"/>
    <w:uiPriority w:val="99"/>
    <w:semiHidden/>
    <w:unhideWhenUsed/>
    <w:qFormat/>
    <w:pPr>
      <w:spacing w:after="40" w:line="240" w:lineRule="auto"/>
    </w:pPr>
    <w:rPr>
      <w:sz w:val="18"/>
    </w:rPr>
  </w:style>
  <w:style w:type="paragraph" w:styleId="691">
    <w:name w:val="toc 6"/>
    <w:basedOn w:val="663"/>
    <w:next w:val="663"/>
    <w:uiPriority w:val="39"/>
    <w:unhideWhenUsed/>
    <w:qFormat/>
    <w:pPr>
      <w:ind w:left="1417" w:right="0" w:firstLine="0"/>
      <w:spacing w:after="57"/>
    </w:pPr>
  </w:style>
  <w:style w:type="paragraph" w:styleId="692">
    <w:name w:val="table of figures"/>
    <w:basedOn w:val="663"/>
    <w:next w:val="663"/>
    <w:uiPriority w:val="99"/>
    <w:unhideWhenUsed/>
    <w:qFormat/>
    <w:pPr>
      <w:spacing w:after="0" w:afterAutospacing="0"/>
    </w:pPr>
  </w:style>
  <w:style w:type="paragraph" w:styleId="693">
    <w:name w:val="toc 2"/>
    <w:basedOn w:val="663"/>
    <w:next w:val="663"/>
    <w:uiPriority w:val="39"/>
    <w:unhideWhenUsed/>
    <w:qFormat/>
    <w:pPr>
      <w:ind w:left="283" w:right="0" w:firstLine="0"/>
      <w:spacing w:after="57"/>
    </w:pPr>
  </w:style>
  <w:style w:type="paragraph" w:styleId="694">
    <w:name w:val="toc 9"/>
    <w:basedOn w:val="663"/>
    <w:next w:val="663"/>
    <w:uiPriority w:val="39"/>
    <w:unhideWhenUsed/>
    <w:qFormat/>
    <w:pPr>
      <w:ind w:left="2268" w:right="0" w:firstLine="0"/>
      <w:spacing w:after="57"/>
    </w:pPr>
  </w:style>
  <w:style w:type="paragraph" w:styleId="695">
    <w:name w:val="Normal (Web)"/>
    <w:basedOn w:val="663"/>
    <w:uiPriority w:val="0"/>
    <w:qFormat/>
    <w:pPr>
      <w:jc w:val="left"/>
      <w:spacing w:beforeAutospacing="1" w:afterAutospacing="1"/>
    </w:pPr>
    <w:rPr>
      <w:rFonts w:cs="Times New Roman"/>
      <w:sz w:val="24"/>
    </w:rPr>
  </w:style>
  <w:style w:type="paragraph" w:styleId="696">
    <w:name w:val="Title"/>
    <w:basedOn w:val="663"/>
    <w:next w:val="663"/>
    <w:link w:val="713"/>
    <w:uiPriority w:val="10"/>
    <w:qFormat/>
    <w:pPr>
      <w:contextualSpacing/>
      <w:spacing w:before="300" w:after="200"/>
    </w:pPr>
    <w:rPr>
      <w:sz w:val="48"/>
      <w:szCs w:val="48"/>
    </w:rPr>
  </w:style>
  <w:style w:type="table" w:styleId="697">
    <w:name w:val="Table Grid"/>
    <w:basedOn w:val="67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73"/>
    <w:uiPriority w:val="0"/>
    <w:qFormat/>
    <w:rPr>
      <w:b/>
    </w:rPr>
  </w:style>
  <w:style w:type="character" w:styleId="699">
    <w:name w:val="endnote reference"/>
    <w:basedOn w:val="673"/>
    <w:uiPriority w:val="99"/>
    <w:semiHidden/>
    <w:unhideWhenUsed/>
    <w:qFormat/>
    <w:rPr>
      <w:vertAlign w:val="superscript"/>
    </w:rPr>
  </w:style>
  <w:style w:type="character" w:styleId="700">
    <w:name w:val="Hyperlink"/>
    <w:uiPriority w:val="99"/>
    <w:unhideWhenUsed/>
    <w:qFormat/>
    <w:rPr>
      <w:color w:val="0563c1" w:themeColor="hyperlink"/>
      <w:u w:val="single"/>
      <w14:textFill>
        <w14:solidFill>
          <w14:schemeClr w14:val="hlink"/>
        </w14:solidFill>
      </w14:textFill>
    </w:rPr>
  </w:style>
  <w:style w:type="character" w:styleId="701">
    <w:name w:val="footnote reference"/>
    <w:basedOn w:val="673"/>
    <w:uiPriority w:val="99"/>
    <w:unhideWhenUsed/>
    <w:qFormat/>
    <w:rPr>
      <w:vertAlign w:val="superscript"/>
    </w:rPr>
  </w:style>
  <w:style w:type="character" w:styleId="702" w:customStyle="1">
    <w:name w:val="Heading 1 Char"/>
    <w:basedOn w:val="673"/>
    <w:link w:val="664"/>
    <w:uiPriority w:val="9"/>
    <w:qFormat/>
    <w:rPr>
      <w:rFonts w:ascii="Arial" w:hAnsi="Arial" w:eastAsia="Arial" w:cs="Arial"/>
      <w:sz w:val="40"/>
      <w:szCs w:val="40"/>
    </w:rPr>
  </w:style>
  <w:style w:type="character" w:styleId="703" w:customStyle="1">
    <w:name w:val="Heading 2 Char"/>
    <w:basedOn w:val="673"/>
    <w:uiPriority w:val="9"/>
    <w:qFormat/>
    <w:rPr>
      <w:rFonts w:ascii="Arial" w:hAnsi="Arial" w:eastAsia="Arial" w:cs="Arial"/>
      <w:sz w:val="34"/>
    </w:rPr>
  </w:style>
  <w:style w:type="character" w:styleId="704" w:customStyle="1">
    <w:name w:val="Heading 3 Char"/>
    <w:basedOn w:val="673"/>
    <w:link w:val="666"/>
    <w:uiPriority w:val="9"/>
    <w:qFormat/>
    <w:rPr>
      <w:rFonts w:ascii="Arial" w:hAnsi="Arial" w:eastAsia="Arial" w:cs="Arial"/>
      <w:sz w:val="30"/>
      <w:szCs w:val="30"/>
    </w:rPr>
  </w:style>
  <w:style w:type="character" w:styleId="705" w:customStyle="1">
    <w:name w:val="Heading 4 Char"/>
    <w:basedOn w:val="673"/>
    <w:link w:val="667"/>
    <w:uiPriority w:val="9"/>
    <w:qFormat/>
    <w:rPr>
      <w:rFonts w:ascii="Arial" w:hAnsi="Arial" w:eastAsia="Arial" w:cs="Arial"/>
      <w:b/>
      <w:bCs/>
      <w:sz w:val="26"/>
      <w:szCs w:val="26"/>
    </w:rPr>
  </w:style>
  <w:style w:type="character" w:styleId="706" w:customStyle="1">
    <w:name w:val="Heading 5 Char"/>
    <w:basedOn w:val="673"/>
    <w:link w:val="668"/>
    <w:uiPriority w:val="9"/>
    <w:qFormat/>
    <w:rPr>
      <w:rFonts w:ascii="Arial" w:hAnsi="Arial" w:eastAsia="Arial" w:cs="Arial"/>
      <w:b/>
      <w:bCs/>
      <w:sz w:val="24"/>
      <w:szCs w:val="24"/>
    </w:rPr>
  </w:style>
  <w:style w:type="character" w:styleId="707" w:customStyle="1">
    <w:name w:val="Heading 6 Char"/>
    <w:basedOn w:val="673"/>
    <w:link w:val="669"/>
    <w:uiPriority w:val="9"/>
    <w:qFormat/>
    <w:rPr>
      <w:rFonts w:ascii="Arial" w:hAnsi="Arial" w:eastAsia="Arial" w:cs="Arial"/>
      <w:b/>
      <w:bCs/>
      <w:sz w:val="22"/>
      <w:szCs w:val="22"/>
    </w:rPr>
  </w:style>
  <w:style w:type="character" w:styleId="708" w:customStyle="1">
    <w:name w:val="Heading 7 Char"/>
    <w:basedOn w:val="673"/>
    <w:link w:val="670"/>
    <w:uiPriority w:val="9"/>
    <w:qFormat/>
    <w:rPr>
      <w:rFonts w:ascii="Arial" w:hAnsi="Arial" w:eastAsia="Arial" w:cs="Arial"/>
      <w:b/>
      <w:bCs/>
      <w:i/>
      <w:iCs/>
      <w:sz w:val="22"/>
      <w:szCs w:val="22"/>
    </w:rPr>
  </w:style>
  <w:style w:type="character" w:styleId="709" w:customStyle="1">
    <w:name w:val="Heading 8 Char"/>
    <w:basedOn w:val="673"/>
    <w:link w:val="671"/>
    <w:uiPriority w:val="9"/>
    <w:qFormat/>
    <w:rPr>
      <w:rFonts w:ascii="Arial" w:hAnsi="Arial" w:eastAsia="Arial" w:cs="Arial"/>
      <w:i/>
      <w:iCs/>
      <w:sz w:val="22"/>
      <w:szCs w:val="22"/>
    </w:rPr>
  </w:style>
  <w:style w:type="character" w:styleId="710" w:customStyle="1">
    <w:name w:val="Heading 9 Char"/>
    <w:basedOn w:val="673"/>
    <w:link w:val="672"/>
    <w:uiPriority w:val="9"/>
    <w:qFormat/>
    <w:rPr>
      <w:rFonts w:ascii="Arial" w:hAnsi="Arial" w:eastAsia="Arial" w:cs="Arial"/>
      <w:i/>
      <w:iCs/>
      <w:sz w:val="21"/>
      <w:szCs w:val="21"/>
    </w:rPr>
  </w:style>
  <w:style w:type="paragraph" w:styleId="711">
    <w:name w:val="List Paragraph"/>
    <w:basedOn w:val="663"/>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basedOn w:val="673"/>
    <w:link w:val="696"/>
    <w:uiPriority w:val="10"/>
    <w:qFormat/>
    <w:rPr>
      <w:sz w:val="48"/>
      <w:szCs w:val="48"/>
    </w:rPr>
  </w:style>
  <w:style w:type="character" w:styleId="714" w:customStyle="1">
    <w:name w:val="Subtitle Char"/>
    <w:basedOn w:val="673"/>
    <w:link w:val="689"/>
    <w:uiPriority w:val="11"/>
    <w:qFormat/>
    <w:rPr>
      <w:sz w:val="24"/>
      <w:szCs w:val="24"/>
    </w:rPr>
  </w:style>
  <w:style w:type="paragraph" w:styleId="715">
    <w:name w:val="Quote"/>
    <w:basedOn w:val="663"/>
    <w:next w:val="663"/>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3"/>
    <w:next w:val="66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basedOn w:val="673"/>
    <w:uiPriority w:val="99"/>
    <w:qFormat/>
  </w:style>
  <w:style w:type="character" w:styleId="720" w:customStyle="1">
    <w:name w:val="Footer Char"/>
    <w:basedOn w:val="673"/>
    <w:uiPriority w:val="99"/>
    <w:qFormat/>
  </w:style>
  <w:style w:type="character" w:styleId="721" w:customStyle="1">
    <w:name w:val="Caption Char"/>
    <w:uiPriority w:val="99"/>
    <w:qFormat/>
  </w:style>
  <w:style w:type="table" w:styleId="722" w:customStyle="1">
    <w:name w:val="Table Grid Light"/>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7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7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7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7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7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7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7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7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7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7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7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7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7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7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7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7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7 Colorful"/>
    <w:basedOn w:val="6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7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7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7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7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7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7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7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7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7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7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7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7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7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7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7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7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7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7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7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7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7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7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7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7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7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7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7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7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7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7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7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7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7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7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7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7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7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7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7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7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7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7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7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7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7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7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7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7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7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7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7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7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7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7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7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7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7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7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7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7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Footnote Text Char"/>
    <w:link w:val="690"/>
    <w:uiPriority w:val="99"/>
    <w:qFormat/>
    <w:rPr>
      <w:sz w:val="18"/>
    </w:rPr>
  </w:style>
  <w:style w:type="character" w:styleId="848" w:customStyle="1">
    <w:name w:val="Endnote Text Char"/>
    <w:link w:val="684"/>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Default"/>
    <w:basedOn w:val="663"/>
    <w:uiPriority w:val="0"/>
    <w:semiHidden/>
    <w:qFormat/>
    <w:pPr>
      <w:jc w:val="left"/>
    </w:pPr>
    <w:rPr>
      <w:rFonts w:ascii="宋体" w:hAnsi="Calibri" w:cs="宋体"/>
      <w:color w:val="000000"/>
      <w:sz w:val="24"/>
    </w:rPr>
  </w:style>
  <w:style w:type="character" w:styleId="851" w:customStyle="1">
    <w:name w:val="页眉 Char"/>
    <w:basedOn w:val="673"/>
    <w:link w:val="686"/>
    <w:uiPriority w:val="0"/>
    <w:qFormat/>
    <w:rPr>
      <w:rFonts w:asciiTheme="minorHAnsi" w:hAnsiTheme="minorHAnsi" w:eastAsiaTheme="minorEastAsia" w:cstheme="minorBidi"/>
      <w:sz w:val="18"/>
      <w:szCs w:val="18"/>
    </w:rPr>
  </w:style>
  <w:style w:type="character" w:styleId="852" w:customStyle="1">
    <w:name w:val="页脚 Char"/>
    <w:basedOn w:val="673"/>
    <w:link w:val="685"/>
    <w:uiPriority w:val="0"/>
    <w:qFormat/>
    <w:rPr>
      <w:rFonts w:asciiTheme="minorHAnsi" w:hAnsiTheme="minorHAnsi" w:eastAsiaTheme="minorEastAsia" w:cstheme="minorBidi"/>
      <w:sz w:val="18"/>
      <w:szCs w:val="18"/>
    </w:rPr>
  </w:style>
  <w:style w:type="paragraph" w:styleId="8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4" w:customStyle="1">
    <w:name w:val="页脚1"/>
    <w:basedOn w:val="663"/>
    <w:uiPriority w:val="99"/>
    <w:unhideWhenUsed/>
    <w:qFormat/>
    <w:pPr>
      <w:jc w:val="left"/>
      <w:tabs>
        <w:tab w:val="center" w:pos="4153" w:leader="none"/>
        <w:tab w:val="right" w:pos="8306" w:leader="none"/>
      </w:tabs>
    </w:pPr>
    <w:rPr>
      <w:sz w:val="18"/>
      <w:szCs w:val="18"/>
    </w:rPr>
  </w:style>
  <w:style w:type="paragraph" w:styleId="855" w:customStyle="1">
    <w:name w:val="普通正文"/>
    <w:basedOn w:val="663"/>
    <w:uiPriority w:val="0"/>
    <w:qFormat/>
    <w:pPr>
      <w:ind w:firstLine="480"/>
      <w:jc w:val="left"/>
      <w:spacing w:before="120" w:after="120" w:line="360" w:lineRule="auto"/>
    </w:pPr>
    <w:rPr>
      <w:rFonts w:ascii="Arial" w:hAnsi="Arial" w:eastAsia="等线" w:cs="Arial"/>
      <w:sz w:val="24"/>
      <w:szCs w:val="24"/>
    </w:rPr>
  </w:style>
  <w:style w:type="paragraph" w:styleId="856" w:customStyle="1">
    <w:name w:val="正文首行缩进 21"/>
    <w:basedOn w:val="857"/>
    <w:uiPriority w:val="0"/>
    <w:qFormat/>
    <w:pPr>
      <w:ind w:firstLine="420"/>
    </w:pPr>
  </w:style>
  <w:style w:type="paragraph" w:styleId="857" w:customStyle="1">
    <w:name w:val="正文文本缩进1"/>
    <w:basedOn w:val="663"/>
    <w:uiPriority w:val="0"/>
    <w:qFormat/>
    <w:pPr>
      <w:ind w:left="420"/>
      <w:spacing w:after="120"/>
    </w:pPr>
  </w:style>
  <w:style w:type="character" w:styleId="858" w:customStyle="1">
    <w:name w:val="NormalCharacter"/>
    <w:uiPriority w:val="0"/>
    <w:qFormat/>
  </w:style>
  <w:style w:type="character" w:styleId="859" w:customStyle="1">
    <w:name w:val="font41"/>
    <w:basedOn w:val="673"/>
    <w:uiPriority w:val="0"/>
    <w:qFormat/>
    <w:rPr>
      <w:rFonts w:hint="default" w:ascii="Times New Roman" w:hAnsi="Times New Roman" w:cs="Times New Roman"/>
      <w:color w:val="000000"/>
      <w:sz w:val="20"/>
      <w:szCs w:val="20"/>
      <w:u w:val="none"/>
    </w:rPr>
  </w:style>
  <w:style w:type="character" w:styleId="860" w:customStyle="1">
    <w:name w:val="font31"/>
    <w:basedOn w:val="673"/>
    <w:uiPriority w:val="0"/>
    <w:qFormat/>
    <w:rPr>
      <w:rFonts w:hint="eastAsia" w:ascii="宋体" w:hAnsi="宋体" w:eastAsia="宋体" w:cs="宋体"/>
      <w:color w:val="000000"/>
      <w:sz w:val="20"/>
      <w:szCs w:val="20"/>
      <w:u w:val="none"/>
    </w:rPr>
  </w:style>
  <w:style w:type="character" w:styleId="861" w:customStyle="1">
    <w:name w:val="font21"/>
    <w:basedOn w:val="673"/>
    <w:uiPriority w:val="0"/>
    <w:qFormat/>
    <w:rPr>
      <w:rFonts w:hint="eastAsia" w:ascii="黑体" w:hAnsi="宋体" w:eastAsia="黑体" w:cs="黑体"/>
      <w:color w:val="000000"/>
      <w:sz w:val="20"/>
      <w:szCs w:val="20"/>
      <w:u w:val="none"/>
    </w:rPr>
  </w:style>
  <w:style w:type="character" w:styleId="862" w:customStyle="1">
    <w:name w:val="font51"/>
    <w:basedOn w:val="673"/>
    <w:uiPriority w:val="0"/>
    <w:qFormat/>
    <w:rPr>
      <w:rFonts w:hint="default" w:ascii="Times New Roman" w:hAnsi="Times New Roman" w:cs="Times New Roman"/>
      <w:color w:val="000000"/>
      <w:sz w:val="20"/>
      <w:szCs w:val="20"/>
      <w:u w:val="none"/>
    </w:rPr>
  </w:style>
  <w:style w:type="character" w:styleId="863" w:customStyle="1">
    <w:name w:val="font61"/>
    <w:basedOn w:val="673"/>
    <w:uiPriority w:val="0"/>
    <w:qFormat/>
    <w:rPr>
      <w:rFonts w:ascii="MS Gothic" w:hAnsi="MS Gothic" w:eastAsia="MS Gothic" w:cs="MS Gothic"/>
      <w:color w:val="000000"/>
      <w:sz w:val="20"/>
      <w:szCs w:val="20"/>
      <w:u w:val="none"/>
    </w:rPr>
  </w:style>
  <w:style w:type="character" w:styleId="864" w:customStyle="1">
    <w:name w:val="font71"/>
    <w:basedOn w:val="673"/>
    <w:uiPriority w:val="0"/>
    <w:qFormat/>
    <w:rPr>
      <w:rFonts w:ascii="Arial" w:hAnsi="Arial" w:cs="Arial"/>
      <w:color w:val="000000"/>
      <w:sz w:val="20"/>
      <w:szCs w:val="20"/>
      <w:u w:val="none"/>
    </w:rPr>
  </w:style>
  <w:style w:type="numbering" w:styleId="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127</cp:revision>
  <dcterms:created xsi:type="dcterms:W3CDTF">2014-10-29T12:08:00Z</dcterms:created>
  <dcterms:modified xsi:type="dcterms:W3CDTF">2025-10-28T08:14:32Z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2CE725C660F74BC6B9F9F213959B39C7_13</vt:lpwstr>
  </property>
  <property fmtid="{D5CDD505-2E9C-101B-9397-08002B2CF9AE}" pid="4" name="KSOTemplateDocerSaveRecord">
    <vt:lpwstr>eyJoZGlkIjoiYmVhZTNhMjRkNjliMjFkZGQ1OGUzNjdlMmVhOGJlOTgiLCJ1c2VySWQiOiI1Nzk3MzIxOTcifQ==</vt:lpwstr>
  </property>
</Properties>
</file>